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D430D3" w:rsidRPr="00B8652C" w14:paraId="5B3FCFFB" w14:textId="77777777" w:rsidTr="00D430D3">
        <w:trPr>
          <w:trHeight w:val="7660"/>
        </w:trPr>
        <w:tc>
          <w:tcPr>
            <w:tcW w:w="9277" w:type="dxa"/>
            <w:gridSpan w:val="2"/>
            <w:tcBorders>
              <w:top w:val="nil"/>
              <w:left w:val="nil"/>
              <w:bottom w:val="nil"/>
              <w:right w:val="nil"/>
            </w:tcBorders>
          </w:tcPr>
          <w:p w14:paraId="08E904D6" w14:textId="77777777" w:rsidR="00735D00" w:rsidRDefault="00735D00" w:rsidP="00F10BAE">
            <w:pPr>
              <w:jc w:val="both"/>
              <w:rPr>
                <w:rFonts w:cs="Arial"/>
                <w:b/>
                <w:color w:val="FFFFFF" w:themeColor="background1"/>
                <w:sz w:val="56"/>
                <w:szCs w:val="68"/>
              </w:rPr>
            </w:pPr>
            <w:r w:rsidRPr="00735D00">
              <w:rPr>
                <w:rFonts w:cs="Arial"/>
                <w:b/>
                <w:color w:val="FFFFFF" w:themeColor="background1"/>
                <w:sz w:val="56"/>
                <w:szCs w:val="68"/>
              </w:rPr>
              <w:t xml:space="preserve">Institute and Faculty of Actuaries </w:t>
            </w:r>
          </w:p>
          <w:p w14:paraId="4E7F2C83" w14:textId="6E6B2F8D" w:rsidR="00735D00" w:rsidRDefault="00D430D3" w:rsidP="00F10BAE">
            <w:pPr>
              <w:jc w:val="both"/>
              <w:rPr>
                <w:rFonts w:cs="Arial"/>
                <w:b/>
                <w:color w:val="FFFFFF" w:themeColor="background1"/>
                <w:sz w:val="56"/>
                <w:szCs w:val="68"/>
              </w:rPr>
            </w:pPr>
            <w:r w:rsidRPr="00B8652C">
              <w:rPr>
                <w:rFonts w:cs="Arial"/>
                <w:b/>
                <w:color w:val="FFFFFF" w:themeColor="background1"/>
                <w:sz w:val="56"/>
                <w:szCs w:val="68"/>
              </w:rPr>
              <w:t>TMTP</w:t>
            </w:r>
            <w:r w:rsidR="00B8652C" w:rsidRPr="00B8652C">
              <w:rPr>
                <w:rFonts w:cs="Arial"/>
                <w:b/>
                <w:color w:val="FFFFFF" w:themeColor="background1"/>
                <w:sz w:val="56"/>
                <w:szCs w:val="68"/>
              </w:rPr>
              <w:t xml:space="preserve"> recalculation  working party </w:t>
            </w:r>
          </w:p>
          <w:p w14:paraId="5EDB7858" w14:textId="77777777" w:rsidR="00735D00" w:rsidRDefault="00735D00" w:rsidP="00F10BAE">
            <w:pPr>
              <w:jc w:val="both"/>
              <w:rPr>
                <w:rFonts w:cs="Arial"/>
                <w:color w:val="FFFFFF" w:themeColor="background1"/>
                <w:sz w:val="48"/>
                <w:szCs w:val="68"/>
              </w:rPr>
            </w:pPr>
          </w:p>
          <w:p w14:paraId="0087C0FF" w14:textId="2F4228DA" w:rsidR="00E93977" w:rsidRPr="00735D00" w:rsidRDefault="0059073A" w:rsidP="00F10BAE">
            <w:pPr>
              <w:jc w:val="both"/>
              <w:rPr>
                <w:rFonts w:cs="Arial"/>
                <w:color w:val="FFFFFF" w:themeColor="background1"/>
                <w:sz w:val="48"/>
                <w:szCs w:val="68"/>
              </w:rPr>
            </w:pPr>
            <w:r>
              <w:rPr>
                <w:rFonts w:cs="Arial"/>
                <w:color w:val="FFFFFF" w:themeColor="background1"/>
                <w:sz w:val="48"/>
                <w:szCs w:val="68"/>
              </w:rPr>
              <w:t>PRA TMTP simplification project</w:t>
            </w:r>
          </w:p>
          <w:p w14:paraId="730399DA" w14:textId="77777777" w:rsidR="00E93977" w:rsidRPr="00B8652C" w:rsidRDefault="00E93977" w:rsidP="00F10BAE">
            <w:pPr>
              <w:jc w:val="both"/>
              <w:rPr>
                <w:rFonts w:cs="Arial"/>
                <w:color w:val="FFFFFF" w:themeColor="background1"/>
                <w:sz w:val="40"/>
                <w:szCs w:val="44"/>
              </w:rPr>
            </w:pPr>
          </w:p>
          <w:p w14:paraId="6C322845" w14:textId="04AF1BAA" w:rsidR="00E93977" w:rsidRPr="00B8652C" w:rsidRDefault="00E93977" w:rsidP="001749B2">
            <w:pPr>
              <w:spacing w:before="120"/>
              <w:jc w:val="both"/>
              <w:rPr>
                <w:rFonts w:cs="Arial"/>
                <w:color w:val="FFFFFF" w:themeColor="background1"/>
                <w:sz w:val="32"/>
                <w:szCs w:val="36"/>
              </w:rPr>
            </w:pPr>
          </w:p>
        </w:tc>
      </w:tr>
      <w:tr w:rsidR="00D430D3" w:rsidRPr="00B8652C" w14:paraId="3032493A" w14:textId="77777777" w:rsidTr="00D430D3">
        <w:trPr>
          <w:trHeight w:val="3102"/>
        </w:trPr>
        <w:tc>
          <w:tcPr>
            <w:tcW w:w="9277" w:type="dxa"/>
            <w:gridSpan w:val="2"/>
            <w:tcBorders>
              <w:top w:val="nil"/>
              <w:left w:val="nil"/>
              <w:bottom w:val="nil"/>
              <w:right w:val="nil"/>
            </w:tcBorders>
            <w:vAlign w:val="center"/>
          </w:tcPr>
          <w:p w14:paraId="3A1AC632" w14:textId="77777777" w:rsidR="0019646A" w:rsidRPr="00B8652C" w:rsidRDefault="0019646A" w:rsidP="00F10BAE">
            <w:pPr>
              <w:jc w:val="both"/>
              <w:rPr>
                <w:rFonts w:cs="Arial"/>
                <w:color w:val="FFFFFF" w:themeColor="background1"/>
                <w:sz w:val="52"/>
                <w:szCs w:val="56"/>
              </w:rPr>
            </w:pPr>
          </w:p>
        </w:tc>
      </w:tr>
      <w:tr w:rsidR="00D430D3" w:rsidRPr="00B8652C" w14:paraId="5A7DDA56" w14:textId="77777777" w:rsidTr="00D430D3">
        <w:trPr>
          <w:trHeight w:val="1653"/>
        </w:trPr>
        <w:tc>
          <w:tcPr>
            <w:tcW w:w="5211" w:type="dxa"/>
            <w:tcBorders>
              <w:top w:val="nil"/>
              <w:left w:val="nil"/>
              <w:bottom w:val="nil"/>
              <w:right w:val="nil"/>
            </w:tcBorders>
            <w:vAlign w:val="bottom"/>
          </w:tcPr>
          <w:p w14:paraId="1430007A" w14:textId="77777777" w:rsidR="00361531" w:rsidRPr="00B8652C" w:rsidRDefault="00361531" w:rsidP="00F10BAE">
            <w:pPr>
              <w:jc w:val="both"/>
              <w:rPr>
                <w:color w:val="FFFFFF" w:themeColor="background1"/>
                <w:sz w:val="22"/>
                <w:szCs w:val="24"/>
              </w:rPr>
            </w:pPr>
          </w:p>
        </w:tc>
        <w:tc>
          <w:tcPr>
            <w:tcW w:w="4066" w:type="dxa"/>
            <w:tcBorders>
              <w:top w:val="nil"/>
              <w:left w:val="nil"/>
              <w:bottom w:val="nil"/>
              <w:right w:val="nil"/>
            </w:tcBorders>
            <w:vAlign w:val="bottom"/>
          </w:tcPr>
          <w:p w14:paraId="108F09F6" w14:textId="38212B52" w:rsidR="004E558C" w:rsidRPr="00B8652C" w:rsidRDefault="00962FA1" w:rsidP="007A7B69">
            <w:pPr>
              <w:jc w:val="both"/>
              <w:rPr>
                <w:rFonts w:cs="Arial"/>
                <w:color w:val="FFFFFF" w:themeColor="background1"/>
                <w:sz w:val="32"/>
                <w:szCs w:val="36"/>
              </w:rPr>
            </w:pPr>
            <w:r>
              <w:rPr>
                <w:rFonts w:cs="Arial"/>
                <w:color w:val="FFFFFF" w:themeColor="background1"/>
                <w:sz w:val="32"/>
                <w:szCs w:val="36"/>
              </w:rPr>
              <w:t>3 May</w:t>
            </w:r>
            <w:r w:rsidR="00D430D3" w:rsidRPr="00B8652C">
              <w:rPr>
                <w:rFonts w:cs="Arial"/>
                <w:color w:val="FFFFFF" w:themeColor="background1"/>
                <w:sz w:val="32"/>
                <w:szCs w:val="36"/>
              </w:rPr>
              <w:t xml:space="preserve"> </w:t>
            </w:r>
            <w:r w:rsidR="00361531" w:rsidRPr="00B8652C">
              <w:rPr>
                <w:rFonts w:cs="Arial"/>
                <w:color w:val="FFFFFF" w:themeColor="background1"/>
                <w:sz w:val="32"/>
                <w:szCs w:val="36"/>
              </w:rPr>
              <w:t>201</w:t>
            </w:r>
            <w:r w:rsidR="0059073A">
              <w:rPr>
                <w:rFonts w:cs="Arial"/>
                <w:color w:val="FFFFFF" w:themeColor="background1"/>
                <w:sz w:val="32"/>
                <w:szCs w:val="36"/>
              </w:rPr>
              <w:t>8</w:t>
            </w:r>
          </w:p>
        </w:tc>
      </w:tr>
    </w:tbl>
    <w:p w14:paraId="292E0962" w14:textId="77777777" w:rsidR="00D0143C" w:rsidRPr="00B8652C" w:rsidRDefault="00D0143C" w:rsidP="00F10BAE">
      <w:pPr>
        <w:jc w:val="both"/>
        <w:rPr>
          <w:color w:val="FFFFFF" w:themeColor="background1"/>
          <w:sz w:val="18"/>
        </w:rPr>
      </w:pPr>
    </w:p>
    <w:p w14:paraId="662ABCE8" w14:textId="77777777" w:rsidR="00D0143C" w:rsidRPr="00BA33BC" w:rsidRDefault="00D0143C" w:rsidP="00F10BAE">
      <w:pPr>
        <w:jc w:val="both"/>
      </w:pPr>
      <w:r w:rsidRPr="00BA33BC">
        <w:br w:type="page"/>
      </w:r>
    </w:p>
    <w:p w14:paraId="109DF4FD" w14:textId="77777777" w:rsidR="008B58F0" w:rsidRPr="00BA33BC" w:rsidRDefault="008B58F0" w:rsidP="00F10BAE">
      <w:pPr>
        <w:spacing w:line="240" w:lineRule="auto"/>
        <w:ind w:left="360"/>
        <w:jc w:val="both"/>
        <w:rPr>
          <w:rFonts w:cs="Arial"/>
          <w:szCs w:val="20"/>
        </w:rPr>
      </w:pPr>
    </w:p>
    <w:p w14:paraId="11F346E3" w14:textId="07EFF331" w:rsidR="00B8652C" w:rsidRDefault="00B8652C" w:rsidP="00B8652C">
      <w:pPr>
        <w:pStyle w:val="PlainText"/>
        <w:spacing w:after="200"/>
        <w:jc w:val="both"/>
        <w:rPr>
          <w:rFonts w:ascii="Arial" w:hAnsi="Arial" w:cs="Arial"/>
          <w:color w:val="auto"/>
          <w:sz w:val="20"/>
          <w:szCs w:val="20"/>
        </w:rPr>
      </w:pPr>
      <w:r>
        <w:rPr>
          <w:rFonts w:ascii="Arial" w:hAnsi="Arial" w:cs="Arial"/>
          <w:b/>
          <w:color w:val="auto"/>
          <w:sz w:val="20"/>
          <w:szCs w:val="20"/>
        </w:rPr>
        <w:t>Disclaimer</w:t>
      </w:r>
    </w:p>
    <w:p w14:paraId="16CC462F" w14:textId="2283F7BB" w:rsidR="008B58F0" w:rsidRPr="00B8652C" w:rsidRDefault="008B58F0" w:rsidP="00B8652C">
      <w:pPr>
        <w:pStyle w:val="PlainText"/>
        <w:spacing w:after="200" w:line="276" w:lineRule="auto"/>
        <w:jc w:val="both"/>
        <w:rPr>
          <w:rFonts w:ascii="Arial" w:eastAsiaTheme="minorHAnsi" w:hAnsi="Arial" w:cstheme="minorBidi"/>
          <w:color w:val="auto"/>
          <w:sz w:val="20"/>
          <w:szCs w:val="22"/>
          <w:bdr w:val="none" w:sz="0" w:space="0" w:color="auto"/>
          <w:lang w:val="en-GB" w:eastAsia="en-US"/>
        </w:rPr>
      </w:pPr>
      <w:r w:rsidRPr="00B8652C">
        <w:rPr>
          <w:rFonts w:ascii="Arial" w:eastAsiaTheme="minorHAnsi" w:hAnsi="Arial" w:cstheme="minorBidi"/>
          <w:color w:val="auto"/>
          <w:sz w:val="20"/>
          <w:szCs w:val="22"/>
          <w:bdr w:val="none" w:sz="0" w:space="0" w:color="auto"/>
          <w:lang w:val="en-GB" w:eastAsia="en-US"/>
        </w:rPr>
        <w:t>The views expressed in this publication are those of invited contributors and not necessarily those of the Institute and Faculty of Actuaries. The Institute and Faculty of Actuaries do not endorse any of the views stated, nor any claims or representations made in this publication and accept no responsibility or liability to any person for loss or damage suffered as a consequence of their placing reliance upon any view, claim or representation made in this publication. The information and expressions of opinion contained in this publication are not intended to be a comprehensive study, nor to provide actuarial advice or advice of any nature and should not be treated as a substitute for specific advice concerning individual situations. On no account may any part of this publication be reproduced without the written permission of the Institute and Faculty of Actuaries</w:t>
      </w:r>
      <w:r w:rsidR="00026CA3" w:rsidRPr="00B8652C">
        <w:rPr>
          <w:rFonts w:ascii="Arial" w:eastAsiaTheme="minorHAnsi" w:hAnsi="Arial" w:cstheme="minorBidi"/>
          <w:color w:val="auto"/>
          <w:sz w:val="20"/>
          <w:szCs w:val="22"/>
          <w:bdr w:val="none" w:sz="0" w:space="0" w:color="auto"/>
          <w:lang w:val="en-GB" w:eastAsia="en-US"/>
        </w:rPr>
        <w:t>.</w:t>
      </w:r>
    </w:p>
    <w:p w14:paraId="0AE250ED" w14:textId="19650850" w:rsidR="00D430D3" w:rsidRDefault="00F43CE6" w:rsidP="00F10BAE">
      <w:pPr>
        <w:jc w:val="both"/>
        <w:rPr>
          <w:rFonts w:cs="Arial"/>
          <w:b/>
          <w:szCs w:val="20"/>
        </w:rPr>
      </w:pPr>
      <w:r w:rsidRPr="00424C44">
        <w:rPr>
          <w:rFonts w:cs="Arial"/>
          <w:b/>
          <w:szCs w:val="20"/>
        </w:rPr>
        <w:t>Purpose of this paper</w:t>
      </w:r>
    </w:p>
    <w:p w14:paraId="08F944A0" w14:textId="5195F3EB" w:rsidR="0059073A" w:rsidRPr="0059073A" w:rsidRDefault="0059073A" w:rsidP="00F10BAE">
      <w:pPr>
        <w:jc w:val="both"/>
        <w:rPr>
          <w:u w:color="000000"/>
        </w:rPr>
      </w:pPr>
      <w:r w:rsidRPr="0059073A">
        <w:rPr>
          <w:u w:color="000000"/>
        </w:rPr>
        <w:t xml:space="preserve">PRA has requested input from both the ABI TMTP </w:t>
      </w:r>
      <w:r w:rsidR="00962FA1">
        <w:rPr>
          <w:u w:color="000000"/>
        </w:rPr>
        <w:t>w</w:t>
      </w:r>
      <w:r w:rsidRPr="0059073A">
        <w:rPr>
          <w:u w:color="000000"/>
        </w:rPr>
        <w:t xml:space="preserve">orking </w:t>
      </w:r>
      <w:r w:rsidR="00962FA1">
        <w:rPr>
          <w:u w:color="000000"/>
        </w:rPr>
        <w:t>g</w:t>
      </w:r>
      <w:r w:rsidRPr="0059073A">
        <w:rPr>
          <w:u w:color="000000"/>
        </w:rPr>
        <w:t xml:space="preserve">roup and the </w:t>
      </w:r>
      <w:proofErr w:type="spellStart"/>
      <w:r w:rsidRPr="0059073A">
        <w:rPr>
          <w:u w:color="000000"/>
        </w:rPr>
        <w:t>IFoA</w:t>
      </w:r>
      <w:proofErr w:type="spellEnd"/>
      <w:r w:rsidRPr="0059073A">
        <w:rPr>
          <w:u w:color="000000"/>
        </w:rPr>
        <w:t xml:space="preserve"> TMTP </w:t>
      </w:r>
      <w:r w:rsidR="00CB5E56">
        <w:rPr>
          <w:u w:color="000000"/>
        </w:rPr>
        <w:t>w</w:t>
      </w:r>
      <w:r w:rsidRPr="0059073A">
        <w:rPr>
          <w:u w:color="000000"/>
        </w:rPr>
        <w:t xml:space="preserve">orking </w:t>
      </w:r>
      <w:r w:rsidR="00CB5E56">
        <w:rPr>
          <w:u w:color="000000"/>
        </w:rPr>
        <w:t>p</w:t>
      </w:r>
      <w:r w:rsidRPr="0059073A">
        <w:rPr>
          <w:u w:color="000000"/>
        </w:rPr>
        <w:t xml:space="preserve">arty to develop </w:t>
      </w:r>
      <w:r>
        <w:rPr>
          <w:u w:color="000000"/>
        </w:rPr>
        <w:t>a simplified method of recalculating the TMTP.</w:t>
      </w:r>
    </w:p>
    <w:p w14:paraId="53FC952A" w14:textId="73BB7FA4" w:rsidR="00F43CE6" w:rsidRPr="00753A25" w:rsidRDefault="00F43CE6" w:rsidP="00F10BAE">
      <w:pPr>
        <w:jc w:val="both"/>
        <w:rPr>
          <w:rFonts w:cs="Arial"/>
          <w:szCs w:val="20"/>
        </w:rPr>
      </w:pPr>
      <w:r w:rsidRPr="00424C44">
        <w:rPr>
          <w:rFonts w:cs="Arial"/>
          <w:szCs w:val="20"/>
        </w:rPr>
        <w:t xml:space="preserve">The purpose of this paper is to </w:t>
      </w:r>
      <w:r w:rsidR="0059073A">
        <w:rPr>
          <w:rFonts w:cs="Arial"/>
          <w:szCs w:val="20"/>
        </w:rPr>
        <w:t>collect together the</w:t>
      </w:r>
      <w:r w:rsidR="00721DBB">
        <w:rPr>
          <w:rFonts w:cs="Arial"/>
          <w:szCs w:val="20"/>
        </w:rPr>
        <w:t xml:space="preserve"> </w:t>
      </w:r>
      <w:proofErr w:type="spellStart"/>
      <w:r w:rsidR="00721DBB">
        <w:rPr>
          <w:rFonts w:cs="Arial"/>
          <w:szCs w:val="20"/>
        </w:rPr>
        <w:t>IFoA</w:t>
      </w:r>
      <w:proofErr w:type="spellEnd"/>
      <w:r w:rsidR="0059073A">
        <w:rPr>
          <w:rFonts w:cs="Arial"/>
          <w:szCs w:val="20"/>
        </w:rPr>
        <w:t xml:space="preserve"> TMTP working party views into a single document for </w:t>
      </w:r>
      <w:r w:rsidR="00753A25" w:rsidRPr="00424C44">
        <w:rPr>
          <w:rFonts w:cs="Arial"/>
          <w:szCs w:val="20"/>
        </w:rPr>
        <w:t>input</w:t>
      </w:r>
      <w:r w:rsidRPr="00424C44">
        <w:rPr>
          <w:rFonts w:cs="Arial"/>
          <w:szCs w:val="20"/>
        </w:rPr>
        <w:t xml:space="preserve"> into the </w:t>
      </w:r>
      <w:r w:rsidR="0059073A">
        <w:t xml:space="preserve">PRA TMTP simplification project.  </w:t>
      </w:r>
    </w:p>
    <w:p w14:paraId="274748C6" w14:textId="6E0D2228" w:rsidR="00D430D3" w:rsidRDefault="00D430D3" w:rsidP="00D430D3">
      <w:pPr>
        <w:pStyle w:val="Heading1"/>
        <w:numPr>
          <w:ilvl w:val="0"/>
          <w:numId w:val="0"/>
        </w:numPr>
        <w:ind w:left="432" w:hanging="432"/>
      </w:pPr>
      <w:r>
        <w:t xml:space="preserve">About the </w:t>
      </w:r>
      <w:proofErr w:type="spellStart"/>
      <w:r>
        <w:t>IFoA</w:t>
      </w:r>
      <w:proofErr w:type="spellEnd"/>
      <w:r>
        <w:t xml:space="preserve"> working party on TMTP</w:t>
      </w:r>
      <w:r w:rsidR="00735D00">
        <w:t xml:space="preserve"> recalculation</w:t>
      </w:r>
    </w:p>
    <w:p w14:paraId="30A58571" w14:textId="466A71E9" w:rsidR="00C91930" w:rsidRPr="00141BEF" w:rsidRDefault="00C91930" w:rsidP="00C91930">
      <w:r>
        <w:t>Solvency II came into force on 1</w:t>
      </w:r>
      <w:r w:rsidR="00962FA1" w:rsidRPr="00F52AB9">
        <w:rPr>
          <w:vertAlign w:val="superscript"/>
        </w:rPr>
        <w:t>st</w:t>
      </w:r>
      <w:r>
        <w:t xml:space="preserve"> January 2016 and included a transitional measure on technical provisions (“</w:t>
      </w:r>
      <w:r w:rsidRPr="00C91930">
        <w:t>TMTP</w:t>
      </w:r>
      <w:r>
        <w:t xml:space="preserve">”) designed to help smooth in the capital impact over a 16 year period.  </w:t>
      </w:r>
      <w:r w:rsidRPr="00BA33BC">
        <w:rPr>
          <w:rFonts w:cs="Arial"/>
          <w:szCs w:val="20"/>
        </w:rPr>
        <w:t xml:space="preserve">The </w:t>
      </w:r>
      <w:r>
        <w:rPr>
          <w:rFonts w:cs="Arial"/>
          <w:szCs w:val="20"/>
        </w:rPr>
        <w:t xml:space="preserve">working party’s view is that the main </w:t>
      </w:r>
      <w:r w:rsidRPr="00BA33BC">
        <w:rPr>
          <w:rFonts w:cs="Arial"/>
          <w:szCs w:val="20"/>
        </w:rPr>
        <w:t xml:space="preserve">intention of the </w:t>
      </w:r>
      <w:r w:rsidRPr="00C91930">
        <w:rPr>
          <w:rFonts w:cs="Arial"/>
          <w:szCs w:val="20"/>
        </w:rPr>
        <w:t>TMTP</w:t>
      </w:r>
      <w:r>
        <w:rPr>
          <w:rFonts w:cs="Arial"/>
          <w:szCs w:val="20"/>
        </w:rPr>
        <w:t xml:space="preserve"> i</w:t>
      </w:r>
      <w:r w:rsidRPr="00BA33BC">
        <w:rPr>
          <w:rFonts w:cs="Arial"/>
          <w:szCs w:val="20"/>
        </w:rPr>
        <w:t xml:space="preserve">s to mitigate the impact of the introduction of the </w:t>
      </w:r>
      <w:r w:rsidRPr="00C91930">
        <w:rPr>
          <w:rFonts w:cs="Arial"/>
          <w:szCs w:val="20"/>
        </w:rPr>
        <w:t>risk margin</w:t>
      </w:r>
      <w:r>
        <w:rPr>
          <w:rFonts w:cs="Arial"/>
          <w:szCs w:val="20"/>
        </w:rPr>
        <w:t xml:space="preserve">, which significantly increases the technical provisions of firms, relative to </w:t>
      </w:r>
      <w:r w:rsidRPr="00B63639">
        <w:t xml:space="preserve">their Solvency I Pillar II liabilities.  </w:t>
      </w:r>
    </w:p>
    <w:p w14:paraId="58FD012A" w14:textId="0FFEE93E" w:rsidR="00C91930" w:rsidRDefault="00C91930" w:rsidP="00C91930">
      <w:r w:rsidRPr="001B4077">
        <w:t xml:space="preserve">In the lead up to </w:t>
      </w:r>
      <w:r w:rsidR="00FC5E89">
        <w:t xml:space="preserve">Solvency II </w:t>
      </w:r>
      <w:r w:rsidRPr="001B4077">
        <w:t>many were thinking of the</w:t>
      </w:r>
      <w:r>
        <w:t xml:space="preserve"> </w:t>
      </w:r>
      <w:r w:rsidRPr="00C91930">
        <w:rPr>
          <w:rFonts w:cs="Arial"/>
          <w:szCs w:val="20"/>
        </w:rPr>
        <w:t>TMTP</w:t>
      </w:r>
      <w:r>
        <w:rPr>
          <w:rFonts w:cs="Arial"/>
          <w:szCs w:val="20"/>
        </w:rPr>
        <w:t xml:space="preserve"> </w:t>
      </w:r>
      <w:r w:rsidRPr="001B4077">
        <w:t>as a fixed amount</w:t>
      </w:r>
      <w:r w:rsidR="00962FA1">
        <w:t>,</w:t>
      </w:r>
      <w:r w:rsidRPr="001B4077">
        <w:t xml:space="preserve"> set </w:t>
      </w:r>
      <w:r w:rsidR="00962FA1">
        <w:t>at the 1</w:t>
      </w:r>
      <w:r w:rsidR="00962FA1" w:rsidRPr="00F52AB9">
        <w:rPr>
          <w:vertAlign w:val="superscript"/>
        </w:rPr>
        <w:t xml:space="preserve">st </w:t>
      </w:r>
      <w:r w:rsidR="00962FA1">
        <w:t xml:space="preserve">January 2016, </w:t>
      </w:r>
      <w:r w:rsidRPr="001B4077">
        <w:t xml:space="preserve">which would very simply run-off </w:t>
      </w:r>
      <w:r w:rsidR="00546BA5">
        <w:t xml:space="preserve">linearly </w:t>
      </w:r>
      <w:r w:rsidRPr="001B4077">
        <w:t xml:space="preserve">over 16 years. Not much thought had been given to the potential need to recalculate and certainly not to the need to do so, so quickly after switching to the new regime. The market conditions experienced </w:t>
      </w:r>
      <w:r w:rsidR="00546BA5">
        <w:t>in the first half of 2016</w:t>
      </w:r>
      <w:r w:rsidRPr="001B4077">
        <w:t xml:space="preserve"> significantly changed this view</w:t>
      </w:r>
      <w:r>
        <w:t xml:space="preserve">, </w:t>
      </w:r>
      <w:r w:rsidRPr="001B4077">
        <w:t xml:space="preserve">so much so that </w:t>
      </w:r>
      <w:r w:rsidRPr="00C91930">
        <w:rPr>
          <w:rFonts w:cs="Arial"/>
          <w:szCs w:val="20"/>
        </w:rPr>
        <w:t>TMTP</w:t>
      </w:r>
      <w:r w:rsidRPr="001B4077">
        <w:t xml:space="preserve"> recalculation </w:t>
      </w:r>
      <w:r w:rsidR="00622067" w:rsidRPr="001B4077">
        <w:t>ha</w:t>
      </w:r>
      <w:r w:rsidR="00622067">
        <w:t>ve</w:t>
      </w:r>
      <w:r w:rsidR="00622067" w:rsidRPr="001B4077">
        <w:t xml:space="preserve"> </w:t>
      </w:r>
      <w:r w:rsidRPr="001B4077">
        <w:t xml:space="preserve">become </w:t>
      </w:r>
      <w:r w:rsidR="00FC5E89">
        <w:t xml:space="preserve">a regular occurrence and </w:t>
      </w:r>
      <w:r w:rsidRPr="001B4077">
        <w:t xml:space="preserve">one of the biggest challenges for many UK firms. </w:t>
      </w:r>
    </w:p>
    <w:p w14:paraId="7D227C2D" w14:textId="056D1FD2" w:rsidR="00C91930" w:rsidRDefault="00C91930" w:rsidP="00C91930">
      <w:r w:rsidRPr="00945093">
        <w:t xml:space="preserve">The majority of firms who hold a </w:t>
      </w:r>
      <w:r w:rsidRPr="00C91930">
        <w:rPr>
          <w:rFonts w:cs="Arial"/>
          <w:szCs w:val="20"/>
        </w:rPr>
        <w:t>TMTP</w:t>
      </w:r>
      <w:r w:rsidRPr="001B4077">
        <w:t xml:space="preserve"> </w:t>
      </w:r>
      <w:r w:rsidRPr="00945093">
        <w:t xml:space="preserve">have now had at least </w:t>
      </w:r>
      <w:r w:rsidR="007A7B69">
        <w:t>two</w:t>
      </w:r>
      <w:r w:rsidR="007A7B69" w:rsidRPr="00945093">
        <w:t xml:space="preserve"> </w:t>
      </w:r>
      <w:r w:rsidRPr="00945093">
        <w:t>recalculation</w:t>
      </w:r>
      <w:r w:rsidR="007A7B69">
        <w:t>s</w:t>
      </w:r>
      <w:r w:rsidRPr="00945093">
        <w:t xml:space="preserve"> approved by </w:t>
      </w:r>
      <w:r w:rsidR="00FC5E89">
        <w:t xml:space="preserve">the </w:t>
      </w:r>
      <w:r w:rsidRPr="00945093">
        <w:t xml:space="preserve">PRA; </w:t>
      </w:r>
      <w:r w:rsidR="007A7B69">
        <w:t xml:space="preserve">including the mandatory biennial </w:t>
      </w:r>
      <w:r w:rsidR="00127B11">
        <w:t>recalculation</w:t>
      </w:r>
      <w:r w:rsidR="00962FA1">
        <w:t xml:space="preserve"> as at 31st December 2017</w:t>
      </w:r>
      <w:r w:rsidRPr="00945093">
        <w:t xml:space="preserve">. </w:t>
      </w:r>
      <w:r>
        <w:t xml:space="preserve"> </w:t>
      </w:r>
      <w:r w:rsidRPr="00945093">
        <w:t>Despite th</w:t>
      </w:r>
      <w:r>
        <w:t>is</w:t>
      </w:r>
      <w:r w:rsidRPr="00945093">
        <w:t xml:space="preserve"> large number of approved recalculations, there remains significant uncertainty in the industry around the approach and triggers for recalculation.  </w:t>
      </w:r>
    </w:p>
    <w:p w14:paraId="2F02B4F9" w14:textId="5ACB7B84" w:rsidR="00C91930" w:rsidRDefault="00C91930" w:rsidP="00C91930">
      <w:r>
        <w:t xml:space="preserve">During 2016 the </w:t>
      </w:r>
      <w:proofErr w:type="spellStart"/>
      <w:r>
        <w:t>IFoA</w:t>
      </w:r>
      <w:proofErr w:type="spellEnd"/>
      <w:r>
        <w:t xml:space="preserve"> Life Board established a</w:t>
      </w:r>
      <w:r w:rsidR="00683ECE">
        <w:t xml:space="preserve"> working party to provide timely</w:t>
      </w:r>
      <w:r>
        <w:t xml:space="preserve"> input on the topical issue of </w:t>
      </w:r>
      <w:r w:rsidRPr="00C91930">
        <w:t>TMTP recalculation</w:t>
      </w:r>
      <w:r>
        <w:t xml:space="preserve">.  The focus of this working party is to: </w:t>
      </w:r>
    </w:p>
    <w:p w14:paraId="15E57A38" w14:textId="6A7CB816" w:rsidR="00C91930" w:rsidRDefault="00C91930" w:rsidP="002C5FE6">
      <w:pPr>
        <w:pStyle w:val="ListParagraph"/>
        <w:numPr>
          <w:ilvl w:val="0"/>
          <w:numId w:val="5"/>
        </w:numPr>
      </w:pPr>
      <w:r>
        <w:t xml:space="preserve">Understand the challenges associated with the recalculation of the </w:t>
      </w:r>
      <w:r w:rsidRPr="00C91930">
        <w:t>TMTP</w:t>
      </w:r>
      <w:r>
        <w:t xml:space="preserve">, </w:t>
      </w:r>
    </w:p>
    <w:p w14:paraId="1F8E6DF1" w14:textId="6476B2E4" w:rsidR="00C91930" w:rsidRDefault="00FC5E89" w:rsidP="002C5FE6">
      <w:pPr>
        <w:pStyle w:val="ListParagraph"/>
        <w:numPr>
          <w:ilvl w:val="0"/>
          <w:numId w:val="5"/>
        </w:numPr>
      </w:pPr>
      <w:r>
        <w:t>Identify w</w:t>
      </w:r>
      <w:r w:rsidR="00C91930">
        <w:t xml:space="preserve">hat options are available to </w:t>
      </w:r>
      <w:r w:rsidR="00735D00">
        <w:t>f</w:t>
      </w:r>
      <w:r w:rsidR="00C91930">
        <w:t xml:space="preserve">irms and the regulator to address these challenges, and </w:t>
      </w:r>
    </w:p>
    <w:p w14:paraId="680B75B4" w14:textId="38B9B4BD" w:rsidR="00C91930" w:rsidRDefault="00FC5E89" w:rsidP="002C5FE6">
      <w:pPr>
        <w:pStyle w:val="ListParagraph"/>
        <w:numPr>
          <w:ilvl w:val="0"/>
          <w:numId w:val="5"/>
        </w:numPr>
      </w:pPr>
      <w:r>
        <w:t>Set out w</w:t>
      </w:r>
      <w:r w:rsidR="00C91930">
        <w:t xml:space="preserve">hat good </w:t>
      </w:r>
      <w:r w:rsidR="008A0D95">
        <w:t xml:space="preserve">practice </w:t>
      </w:r>
      <w:r w:rsidR="00C91930">
        <w:t>looks like</w:t>
      </w:r>
      <w:r>
        <w:t>.</w:t>
      </w:r>
    </w:p>
    <w:p w14:paraId="3878011B" w14:textId="77777777" w:rsidR="00CB5E56" w:rsidRDefault="00CB5E56" w:rsidP="00C91930"/>
    <w:p w14:paraId="585211DC" w14:textId="2DFD1B41" w:rsidR="00C91930" w:rsidRDefault="0059073A" w:rsidP="00C91930">
      <w:r>
        <w:t>T</w:t>
      </w:r>
      <w:r w:rsidR="00C91930">
        <w:t>he main outputs of the working party are:</w:t>
      </w:r>
    </w:p>
    <w:p w14:paraId="361C87D9" w14:textId="4C3E9BD0" w:rsidR="00C91930" w:rsidRDefault="00C91930" w:rsidP="002C5FE6">
      <w:pPr>
        <w:pStyle w:val="ListParagraph"/>
        <w:numPr>
          <w:ilvl w:val="0"/>
          <w:numId w:val="6"/>
        </w:numPr>
      </w:pPr>
      <w:r>
        <w:t>A presentation at the</w:t>
      </w:r>
      <w:r w:rsidR="00622067">
        <w:t xml:space="preserve"> 2016</w:t>
      </w:r>
      <w:r>
        <w:t xml:space="preserve"> Life Conference, presented on the 4</w:t>
      </w:r>
      <w:r w:rsidRPr="00C91930">
        <w:rPr>
          <w:vertAlign w:val="superscript"/>
        </w:rPr>
        <w:t>th</w:t>
      </w:r>
      <w:r>
        <w:t xml:space="preserve"> November 2016</w:t>
      </w:r>
      <w:r w:rsidR="00962FA1">
        <w:t>.</w:t>
      </w:r>
    </w:p>
    <w:p w14:paraId="7F829886" w14:textId="1A562DDB" w:rsidR="00C91930" w:rsidRDefault="00C91930" w:rsidP="002C5FE6">
      <w:pPr>
        <w:pStyle w:val="ListParagraph"/>
        <w:numPr>
          <w:ilvl w:val="0"/>
          <w:numId w:val="6"/>
        </w:numPr>
      </w:pPr>
      <w:r>
        <w:lastRenderedPageBreak/>
        <w:t xml:space="preserve">A </w:t>
      </w:r>
      <w:r w:rsidR="0059073A">
        <w:t xml:space="preserve">detailed </w:t>
      </w:r>
      <w:r>
        <w:t xml:space="preserve">paper which expands upon the issues outlined in the Life 2016 </w:t>
      </w:r>
      <w:r w:rsidR="00962FA1">
        <w:t>c</w:t>
      </w:r>
      <w:r w:rsidR="00962FA1">
        <w:t>onference</w:t>
      </w:r>
      <w:r w:rsidR="00962FA1">
        <w:t xml:space="preserve"> </w:t>
      </w:r>
      <w:r w:rsidR="0059073A">
        <w:t xml:space="preserve">presentation in more detail. This paper was published on the </w:t>
      </w:r>
      <w:proofErr w:type="spellStart"/>
      <w:r w:rsidR="0059073A">
        <w:t>IFoA</w:t>
      </w:r>
      <w:proofErr w:type="spellEnd"/>
      <w:r w:rsidR="0059073A">
        <w:t xml:space="preserve"> website on the 7</w:t>
      </w:r>
      <w:r w:rsidR="0059073A" w:rsidRPr="0059073A">
        <w:rPr>
          <w:vertAlign w:val="superscript"/>
        </w:rPr>
        <w:t>th</w:t>
      </w:r>
      <w:r w:rsidR="0059073A">
        <w:t xml:space="preserve"> August 2017.</w:t>
      </w:r>
    </w:p>
    <w:p w14:paraId="0B1E333A" w14:textId="24CBD97D" w:rsidR="007A7B69" w:rsidRDefault="007A7B69" w:rsidP="002C5FE6">
      <w:pPr>
        <w:pStyle w:val="ListParagraph"/>
        <w:numPr>
          <w:ilvl w:val="0"/>
          <w:numId w:val="6"/>
        </w:numPr>
      </w:pPr>
      <w:r>
        <w:t>A survey which aims to better understand how TMTP is calculated across the industry</w:t>
      </w:r>
      <w:r w:rsidR="00CB5E56">
        <w:t xml:space="preserve"> and which is expected in 2018.</w:t>
      </w:r>
    </w:p>
    <w:p w14:paraId="5036DD0D" w14:textId="77777777" w:rsidR="00C91930" w:rsidRDefault="00C91930" w:rsidP="00ED72E6">
      <w:pPr>
        <w:pStyle w:val="ListParagraph"/>
        <w:spacing w:line="240" w:lineRule="auto"/>
        <w:ind w:left="777"/>
      </w:pPr>
    </w:p>
    <w:p w14:paraId="418805A4" w14:textId="77777777" w:rsidR="00CB5E56" w:rsidRDefault="00CB5E56" w:rsidP="00ED72E6">
      <w:pPr>
        <w:pStyle w:val="ListParagraph"/>
        <w:spacing w:line="240" w:lineRule="auto"/>
        <w:ind w:left="777"/>
      </w:pPr>
    </w:p>
    <w:p w14:paraId="6C89A341" w14:textId="77777777" w:rsidR="004E6445" w:rsidRDefault="00FC5E89" w:rsidP="00F52AB9">
      <w:pPr>
        <w:jc w:val="both"/>
        <w:rPr>
          <w:rFonts w:cs="Arial"/>
          <w:b/>
          <w:szCs w:val="20"/>
        </w:rPr>
      </w:pPr>
      <w:r>
        <w:rPr>
          <w:rFonts w:cs="Arial"/>
          <w:b/>
          <w:szCs w:val="20"/>
        </w:rPr>
        <w:t>PRA TMTP Simplification Project</w:t>
      </w:r>
    </w:p>
    <w:p w14:paraId="604D18E7" w14:textId="7729DC62" w:rsidR="0062665E" w:rsidRPr="008A14C0" w:rsidRDefault="008A14C0" w:rsidP="00F52AB9">
      <w:pPr>
        <w:jc w:val="both"/>
        <w:rPr>
          <w:rFonts w:cs="Arial"/>
          <w:szCs w:val="20"/>
        </w:rPr>
      </w:pPr>
      <w:r w:rsidRPr="0062665E">
        <w:rPr>
          <w:rFonts w:cs="Arial"/>
          <w:szCs w:val="20"/>
        </w:rPr>
        <w:t xml:space="preserve">The PRA </w:t>
      </w:r>
      <w:r w:rsidR="00622067" w:rsidRPr="00F52AB9">
        <w:rPr>
          <w:rFonts w:cs="Arial"/>
          <w:szCs w:val="20"/>
        </w:rPr>
        <w:t>ha</w:t>
      </w:r>
      <w:r w:rsidR="00622067">
        <w:rPr>
          <w:rFonts w:cs="Arial"/>
          <w:szCs w:val="20"/>
        </w:rPr>
        <w:t>s</w:t>
      </w:r>
      <w:r w:rsidR="00622067" w:rsidRPr="0062665E">
        <w:rPr>
          <w:rFonts w:cs="Arial"/>
          <w:szCs w:val="20"/>
        </w:rPr>
        <w:t xml:space="preserve"> </w:t>
      </w:r>
      <w:r w:rsidRPr="00962FA1">
        <w:rPr>
          <w:rFonts w:cs="Arial"/>
          <w:szCs w:val="20"/>
        </w:rPr>
        <w:t>issued a note to the ABI TMTP Working</w:t>
      </w:r>
      <w:r w:rsidRPr="008A14C0">
        <w:rPr>
          <w:rFonts w:cs="Arial"/>
          <w:szCs w:val="20"/>
        </w:rPr>
        <w:t xml:space="preserve"> Group and the </w:t>
      </w:r>
      <w:proofErr w:type="spellStart"/>
      <w:r w:rsidRPr="008A14C0">
        <w:rPr>
          <w:rFonts w:cs="Arial"/>
          <w:szCs w:val="20"/>
        </w:rPr>
        <w:t>IFoA</w:t>
      </w:r>
      <w:proofErr w:type="spellEnd"/>
      <w:r w:rsidRPr="008A14C0">
        <w:rPr>
          <w:rFonts w:cs="Arial"/>
          <w:szCs w:val="20"/>
        </w:rPr>
        <w:t xml:space="preserve"> TMTP </w:t>
      </w:r>
      <w:r w:rsidR="00CB5E56">
        <w:rPr>
          <w:rFonts w:cs="Arial"/>
          <w:szCs w:val="20"/>
        </w:rPr>
        <w:t>w</w:t>
      </w:r>
      <w:r w:rsidRPr="008A14C0">
        <w:rPr>
          <w:rFonts w:cs="Arial"/>
          <w:szCs w:val="20"/>
        </w:rPr>
        <w:t xml:space="preserve">orking </w:t>
      </w:r>
      <w:r w:rsidR="00CB5E56">
        <w:rPr>
          <w:rFonts w:cs="Arial"/>
          <w:szCs w:val="20"/>
        </w:rPr>
        <w:t>p</w:t>
      </w:r>
      <w:r w:rsidRPr="008A14C0">
        <w:rPr>
          <w:rFonts w:cs="Arial"/>
          <w:szCs w:val="20"/>
        </w:rPr>
        <w:t>arty to outline what they hope to achieve in the space of simplification of the TMTP.   It has been prepared to explain the PRA’s aims, principles, ideas and planned process.</w:t>
      </w:r>
      <w:r w:rsidR="0062665E">
        <w:rPr>
          <w:rFonts w:cs="Arial"/>
          <w:szCs w:val="20"/>
        </w:rPr>
        <w:t xml:space="preserve">  This note is included in appendix A.</w:t>
      </w:r>
    </w:p>
    <w:p w14:paraId="4AA6CB6C" w14:textId="77777777" w:rsidR="0081460F" w:rsidRDefault="0081460F" w:rsidP="00F10BAE">
      <w:pPr>
        <w:jc w:val="both"/>
        <w:rPr>
          <w:rFonts w:cs="Arial"/>
          <w:b/>
          <w:szCs w:val="20"/>
        </w:rPr>
      </w:pPr>
    </w:p>
    <w:p w14:paraId="615D3325" w14:textId="63170FFF" w:rsidR="007A7B69" w:rsidRPr="002F07CA" w:rsidRDefault="007A7B69" w:rsidP="00F10BAE">
      <w:pPr>
        <w:jc w:val="both"/>
        <w:rPr>
          <w:rFonts w:cs="Arial"/>
          <w:b/>
          <w:szCs w:val="20"/>
        </w:rPr>
      </w:pPr>
      <w:r w:rsidRPr="002F07CA">
        <w:rPr>
          <w:rFonts w:cs="Arial"/>
          <w:b/>
          <w:szCs w:val="20"/>
        </w:rPr>
        <w:t>Executive Summary</w:t>
      </w:r>
    </w:p>
    <w:p w14:paraId="4F8001A2" w14:textId="2A4A6D59" w:rsidR="007A7B69" w:rsidRDefault="00C203B0" w:rsidP="00ED72E6">
      <w:pPr>
        <w:spacing w:after="0" w:line="240" w:lineRule="auto"/>
        <w:jc w:val="both"/>
        <w:rPr>
          <w:rFonts w:cs="Arial"/>
          <w:szCs w:val="20"/>
        </w:rPr>
      </w:pPr>
      <w:r>
        <w:rPr>
          <w:rFonts w:cs="Arial"/>
          <w:szCs w:val="20"/>
        </w:rPr>
        <w:t xml:space="preserve">The PRA </w:t>
      </w:r>
      <w:r w:rsidR="0062665E">
        <w:rPr>
          <w:rFonts w:cs="Arial"/>
          <w:szCs w:val="20"/>
        </w:rPr>
        <w:t xml:space="preserve">has </w:t>
      </w:r>
      <w:r>
        <w:rPr>
          <w:rFonts w:cs="Arial"/>
          <w:szCs w:val="20"/>
        </w:rPr>
        <w:t xml:space="preserve">initiated a TMTP simplification project with the aim of reducing the burden on insurance companies from TMTP recalculation.  The PRA </w:t>
      </w:r>
      <w:r w:rsidR="0062665E">
        <w:rPr>
          <w:rFonts w:cs="Arial"/>
          <w:szCs w:val="20"/>
        </w:rPr>
        <w:t xml:space="preserve">has </w:t>
      </w:r>
      <w:r>
        <w:rPr>
          <w:rFonts w:cs="Arial"/>
          <w:szCs w:val="20"/>
        </w:rPr>
        <w:t xml:space="preserve">asked the </w:t>
      </w:r>
      <w:proofErr w:type="spellStart"/>
      <w:r>
        <w:rPr>
          <w:rFonts w:cs="Arial"/>
          <w:szCs w:val="20"/>
        </w:rPr>
        <w:t>IFoA</w:t>
      </w:r>
      <w:proofErr w:type="spellEnd"/>
      <w:r>
        <w:rPr>
          <w:rFonts w:cs="Arial"/>
          <w:szCs w:val="20"/>
        </w:rPr>
        <w:t xml:space="preserve"> and the ABI to contribute to this project.</w:t>
      </w:r>
    </w:p>
    <w:p w14:paraId="5AECFAD3" w14:textId="77777777" w:rsidR="00CB5E56" w:rsidRDefault="00CB5E56" w:rsidP="00ED72E6">
      <w:pPr>
        <w:spacing w:after="0" w:line="240" w:lineRule="auto"/>
        <w:jc w:val="both"/>
        <w:rPr>
          <w:rFonts w:cs="Arial"/>
          <w:szCs w:val="20"/>
        </w:rPr>
      </w:pPr>
    </w:p>
    <w:p w14:paraId="331BA887" w14:textId="0E0B4ED7" w:rsidR="000B7DF4" w:rsidRDefault="000B7DF4" w:rsidP="0062665E">
      <w:pPr>
        <w:spacing w:after="0" w:line="240" w:lineRule="auto"/>
        <w:rPr>
          <w:rFonts w:cs="Arial"/>
          <w:szCs w:val="20"/>
        </w:rPr>
      </w:pPr>
      <w:r>
        <w:rPr>
          <w:rFonts w:cs="Arial"/>
          <w:szCs w:val="20"/>
        </w:rPr>
        <w:t>T</w:t>
      </w:r>
      <w:r w:rsidR="00C203B0">
        <w:rPr>
          <w:rFonts w:cs="Arial"/>
          <w:szCs w:val="20"/>
        </w:rPr>
        <w:t xml:space="preserve">he </w:t>
      </w:r>
      <w:proofErr w:type="spellStart"/>
      <w:r w:rsidR="00C203B0">
        <w:rPr>
          <w:rFonts w:cs="Arial"/>
          <w:szCs w:val="20"/>
        </w:rPr>
        <w:t>IFoA</w:t>
      </w:r>
      <w:proofErr w:type="spellEnd"/>
      <w:r w:rsidR="00C203B0">
        <w:rPr>
          <w:rFonts w:cs="Arial"/>
          <w:szCs w:val="20"/>
        </w:rPr>
        <w:t xml:space="preserve"> TMTP recalculation working party </w:t>
      </w:r>
      <w:r w:rsidR="00CB5E56">
        <w:rPr>
          <w:rFonts w:cs="Arial"/>
          <w:szCs w:val="20"/>
        </w:rPr>
        <w:t xml:space="preserve">(“working party”) </w:t>
      </w:r>
      <w:r w:rsidR="00C203B0">
        <w:rPr>
          <w:rFonts w:cs="Arial"/>
          <w:szCs w:val="20"/>
        </w:rPr>
        <w:t>welcome</w:t>
      </w:r>
      <w:r>
        <w:rPr>
          <w:rFonts w:cs="Arial"/>
          <w:szCs w:val="20"/>
        </w:rPr>
        <w:t>s</w:t>
      </w:r>
      <w:r w:rsidR="00C203B0">
        <w:rPr>
          <w:rFonts w:cs="Arial"/>
          <w:szCs w:val="20"/>
        </w:rPr>
        <w:t xml:space="preserve"> the opportunity to be involved in this project.  However</w:t>
      </w:r>
      <w:r w:rsidR="0062665E">
        <w:rPr>
          <w:rFonts w:cs="Arial"/>
          <w:szCs w:val="20"/>
        </w:rPr>
        <w:t>,</w:t>
      </w:r>
      <w:r w:rsidR="00C203B0">
        <w:rPr>
          <w:rFonts w:cs="Arial"/>
          <w:szCs w:val="20"/>
        </w:rPr>
        <w:t xml:space="preserve"> the working </w:t>
      </w:r>
      <w:proofErr w:type="gramStart"/>
      <w:r w:rsidR="00C203B0">
        <w:rPr>
          <w:rFonts w:cs="Arial"/>
          <w:szCs w:val="20"/>
        </w:rPr>
        <w:t>party note</w:t>
      </w:r>
      <w:r w:rsidR="0062665E">
        <w:rPr>
          <w:rFonts w:cs="Arial"/>
          <w:szCs w:val="20"/>
        </w:rPr>
        <w:t>s</w:t>
      </w:r>
      <w:r w:rsidR="00C203B0">
        <w:rPr>
          <w:rFonts w:cs="Arial"/>
          <w:szCs w:val="20"/>
        </w:rPr>
        <w:t xml:space="preserve"> the </w:t>
      </w:r>
      <w:proofErr w:type="gramEnd"/>
      <w:r w:rsidR="0062665E">
        <w:rPr>
          <w:rFonts w:cs="Arial"/>
          <w:szCs w:val="20"/>
        </w:rPr>
        <w:t xml:space="preserve">scale of the challenge </w:t>
      </w:r>
      <w:r w:rsidR="00C203B0">
        <w:rPr>
          <w:rFonts w:cs="Arial"/>
          <w:szCs w:val="20"/>
        </w:rPr>
        <w:t xml:space="preserve">of creating a single formula (or </w:t>
      </w:r>
      <w:r w:rsidR="0062665E">
        <w:rPr>
          <w:rFonts w:cs="Arial"/>
          <w:szCs w:val="20"/>
        </w:rPr>
        <w:t>formulae</w:t>
      </w:r>
      <w:r w:rsidR="00C203B0">
        <w:rPr>
          <w:rFonts w:cs="Arial"/>
          <w:szCs w:val="20"/>
        </w:rPr>
        <w:t xml:space="preserve">) that could be uniformly applied across the industry </w:t>
      </w:r>
      <w:r w:rsidR="0079615B">
        <w:rPr>
          <w:rFonts w:cs="Arial"/>
          <w:szCs w:val="20"/>
        </w:rPr>
        <w:t>and consider this</w:t>
      </w:r>
      <w:r w:rsidR="00C203B0">
        <w:rPr>
          <w:rFonts w:cs="Arial"/>
          <w:szCs w:val="20"/>
        </w:rPr>
        <w:t xml:space="preserve"> unlikely and difficult to achieve in practi</w:t>
      </w:r>
      <w:r w:rsidR="004012D4">
        <w:rPr>
          <w:rFonts w:cs="Arial"/>
          <w:szCs w:val="20"/>
        </w:rPr>
        <w:t>c</w:t>
      </w:r>
      <w:r w:rsidR="00C203B0">
        <w:rPr>
          <w:rFonts w:cs="Arial"/>
          <w:szCs w:val="20"/>
        </w:rPr>
        <w:t>e</w:t>
      </w:r>
      <w:r>
        <w:rPr>
          <w:rFonts w:cs="Arial"/>
          <w:szCs w:val="20"/>
        </w:rPr>
        <w:t>.</w:t>
      </w:r>
      <w:r w:rsidR="00F21AF0">
        <w:rPr>
          <w:rFonts w:cs="Arial"/>
          <w:szCs w:val="20"/>
        </w:rPr>
        <w:t xml:space="preserve"> </w:t>
      </w:r>
      <w:r w:rsidR="00F21AF0">
        <w:t xml:space="preserve">Instead, the </w:t>
      </w:r>
      <w:r w:rsidR="00CB5E56">
        <w:t>working party</w:t>
      </w:r>
      <w:r w:rsidR="00F21AF0">
        <w:t xml:space="preserve"> suggests that the PRA could publish a list of simplifications that the PRA considers acceptable. Firms would then be </w:t>
      </w:r>
      <w:r w:rsidR="004E6445">
        <w:t>able to use as many of these simplifications, subject to these leading to a reasonably accurate approximation.</w:t>
      </w:r>
    </w:p>
    <w:p w14:paraId="4220A4D4" w14:textId="77777777" w:rsidR="000B7DF4" w:rsidRDefault="000B7DF4" w:rsidP="000B7DF4">
      <w:pPr>
        <w:spacing w:after="0" w:line="240" w:lineRule="auto"/>
        <w:rPr>
          <w:rFonts w:cs="Arial"/>
          <w:szCs w:val="20"/>
        </w:rPr>
      </w:pPr>
    </w:p>
    <w:p w14:paraId="62AD72D8" w14:textId="1B27F0C0" w:rsidR="000B7DF4" w:rsidRPr="005C4620" w:rsidRDefault="000B7DF4" w:rsidP="000B7DF4">
      <w:pPr>
        <w:spacing w:after="0" w:line="240" w:lineRule="auto"/>
        <w:rPr>
          <w:color w:val="1F497D"/>
          <w:highlight w:val="yellow"/>
        </w:rPr>
      </w:pPr>
      <w:r>
        <w:rPr>
          <w:rFonts w:cs="Arial"/>
          <w:szCs w:val="20"/>
        </w:rPr>
        <w:t>It is also noted that the project’s scope should also consider whether to simplify complex TMTP regulations and their interpretation</w:t>
      </w:r>
      <w:r w:rsidR="004E6445">
        <w:rPr>
          <w:rFonts w:cs="Arial"/>
          <w:szCs w:val="20"/>
        </w:rPr>
        <w:t xml:space="preserve"> in the United Kingdom</w:t>
      </w:r>
      <w:r w:rsidR="0081460F">
        <w:rPr>
          <w:rFonts w:cs="Arial"/>
          <w:szCs w:val="20"/>
        </w:rPr>
        <w:t>.  I</w:t>
      </w:r>
      <w:r>
        <w:rPr>
          <w:rFonts w:cs="Arial"/>
          <w:szCs w:val="20"/>
        </w:rPr>
        <w:t xml:space="preserve">ssues </w:t>
      </w:r>
      <w:r w:rsidR="0081460F">
        <w:rPr>
          <w:rFonts w:cs="Arial"/>
          <w:szCs w:val="20"/>
        </w:rPr>
        <w:t xml:space="preserve">which arise from </w:t>
      </w:r>
      <w:r>
        <w:rPr>
          <w:rFonts w:cs="Arial"/>
          <w:szCs w:val="20"/>
        </w:rPr>
        <w:t xml:space="preserve">complex rules are </w:t>
      </w:r>
      <w:r w:rsidR="0081460F">
        <w:rPr>
          <w:rFonts w:cs="Arial"/>
          <w:szCs w:val="20"/>
        </w:rPr>
        <w:t>perhaps better addressed through a simplification of these rules, rather than through innovative solutions.</w:t>
      </w:r>
    </w:p>
    <w:p w14:paraId="3ADC5B7F" w14:textId="77777777" w:rsidR="00D1166B" w:rsidRDefault="00D1166B" w:rsidP="002F07CA">
      <w:pPr>
        <w:spacing w:after="0" w:line="240" w:lineRule="auto"/>
        <w:jc w:val="both"/>
        <w:rPr>
          <w:rFonts w:cs="Arial"/>
          <w:szCs w:val="20"/>
        </w:rPr>
      </w:pPr>
    </w:p>
    <w:p w14:paraId="78F3D2A8" w14:textId="6E16A351" w:rsidR="006328BD" w:rsidRDefault="00C203B0" w:rsidP="00ED72E6">
      <w:pPr>
        <w:spacing w:after="0" w:line="240" w:lineRule="auto"/>
        <w:jc w:val="both"/>
        <w:rPr>
          <w:rFonts w:cs="Arial"/>
          <w:szCs w:val="20"/>
        </w:rPr>
      </w:pPr>
      <w:r>
        <w:rPr>
          <w:rFonts w:cs="Arial"/>
          <w:szCs w:val="20"/>
        </w:rPr>
        <w:t xml:space="preserve">At this stage of the project it would be wise to evaluate the objectives of the project and agree across the PRA, ABI and </w:t>
      </w:r>
      <w:proofErr w:type="spellStart"/>
      <w:r>
        <w:rPr>
          <w:rFonts w:cs="Arial"/>
          <w:szCs w:val="20"/>
        </w:rPr>
        <w:t>IFoA</w:t>
      </w:r>
      <w:proofErr w:type="spellEnd"/>
      <w:r>
        <w:rPr>
          <w:rFonts w:cs="Arial"/>
          <w:szCs w:val="20"/>
        </w:rPr>
        <w:t xml:space="preserve"> working party what would be regarded as a success.</w:t>
      </w:r>
      <w:r w:rsidR="000B7DF4">
        <w:rPr>
          <w:rFonts w:cs="Arial"/>
          <w:szCs w:val="20"/>
        </w:rPr>
        <w:t xml:space="preserve"> </w:t>
      </w:r>
      <w:r w:rsidR="0081460F">
        <w:rPr>
          <w:rFonts w:cs="Arial"/>
          <w:szCs w:val="20"/>
        </w:rPr>
        <w:t xml:space="preserve">Once this has been agreed the </w:t>
      </w:r>
      <w:proofErr w:type="spellStart"/>
      <w:r w:rsidR="0081460F">
        <w:rPr>
          <w:rFonts w:cs="Arial"/>
          <w:szCs w:val="20"/>
        </w:rPr>
        <w:t>IFoA</w:t>
      </w:r>
      <w:proofErr w:type="spellEnd"/>
      <w:r w:rsidR="0081460F">
        <w:rPr>
          <w:rFonts w:cs="Arial"/>
          <w:szCs w:val="20"/>
        </w:rPr>
        <w:t xml:space="preserve"> working party aims to work closely with the ABI working group and the PRA on the next stages of the project, which is likely to include the refinement of potential solutions outlined in the ABI working group paper.</w:t>
      </w:r>
    </w:p>
    <w:p w14:paraId="2E3DF508" w14:textId="77777777" w:rsidR="00CB5E56" w:rsidRDefault="00CB5E56" w:rsidP="00ED72E6">
      <w:pPr>
        <w:spacing w:after="0" w:line="240" w:lineRule="auto"/>
        <w:jc w:val="both"/>
        <w:rPr>
          <w:rFonts w:cs="Arial"/>
          <w:szCs w:val="20"/>
        </w:rPr>
      </w:pPr>
    </w:p>
    <w:p w14:paraId="29AFE16B" w14:textId="1C39AAD3" w:rsidR="00C203B0" w:rsidRDefault="00D1166B" w:rsidP="00ED72E6">
      <w:pPr>
        <w:spacing w:after="0" w:line="240" w:lineRule="auto"/>
        <w:jc w:val="both"/>
        <w:rPr>
          <w:rFonts w:cs="Arial"/>
          <w:szCs w:val="20"/>
        </w:rPr>
      </w:pPr>
      <w:r>
        <w:rPr>
          <w:rFonts w:cs="Arial"/>
          <w:szCs w:val="20"/>
        </w:rPr>
        <w:t>T</w:t>
      </w:r>
      <w:r w:rsidR="00C203B0">
        <w:rPr>
          <w:rFonts w:cs="Arial"/>
          <w:szCs w:val="20"/>
        </w:rPr>
        <w:t xml:space="preserve">he working party </w:t>
      </w:r>
      <w:r w:rsidR="004F3CAA">
        <w:rPr>
          <w:rFonts w:cs="Arial"/>
          <w:szCs w:val="20"/>
        </w:rPr>
        <w:t>r</w:t>
      </w:r>
      <w:r w:rsidR="00946C3F">
        <w:rPr>
          <w:rFonts w:cs="Arial"/>
          <w:szCs w:val="20"/>
        </w:rPr>
        <w:t>egard</w:t>
      </w:r>
      <w:r w:rsidR="000B7DF4">
        <w:rPr>
          <w:rFonts w:cs="Arial"/>
          <w:szCs w:val="20"/>
        </w:rPr>
        <w:t>s</w:t>
      </w:r>
      <w:r w:rsidR="00946C3F">
        <w:rPr>
          <w:rFonts w:cs="Arial"/>
          <w:szCs w:val="20"/>
        </w:rPr>
        <w:t xml:space="preserve"> </w:t>
      </w:r>
      <w:r w:rsidR="000B7DF4">
        <w:rPr>
          <w:rFonts w:cs="Arial"/>
          <w:szCs w:val="20"/>
        </w:rPr>
        <w:t xml:space="preserve">the following to be </w:t>
      </w:r>
      <w:r w:rsidR="006328BD">
        <w:rPr>
          <w:rFonts w:cs="Arial"/>
          <w:szCs w:val="20"/>
        </w:rPr>
        <w:t xml:space="preserve">the most important </w:t>
      </w:r>
      <w:r w:rsidR="000B7DF4">
        <w:rPr>
          <w:rFonts w:cs="Arial"/>
          <w:szCs w:val="20"/>
        </w:rPr>
        <w:t>outcome</w:t>
      </w:r>
      <w:r w:rsidR="006328BD">
        <w:rPr>
          <w:rFonts w:cs="Arial"/>
          <w:szCs w:val="20"/>
        </w:rPr>
        <w:t>s and measures of success of the TMTP simplification project:</w:t>
      </w:r>
    </w:p>
    <w:p w14:paraId="1F424EF3" w14:textId="77777777" w:rsidR="00CB5E56" w:rsidRDefault="00CB5E56" w:rsidP="00ED72E6">
      <w:pPr>
        <w:spacing w:after="0" w:line="240" w:lineRule="auto"/>
        <w:jc w:val="both"/>
        <w:rPr>
          <w:rFonts w:cs="Arial"/>
          <w:szCs w:val="20"/>
        </w:rPr>
      </w:pPr>
    </w:p>
    <w:p w14:paraId="217FAD11" w14:textId="62DC4088" w:rsidR="00C203B0" w:rsidRDefault="000B7DF4" w:rsidP="00ED72E6">
      <w:pPr>
        <w:pStyle w:val="ListParagraph"/>
        <w:numPr>
          <w:ilvl w:val="0"/>
          <w:numId w:val="35"/>
        </w:numPr>
        <w:spacing w:line="240" w:lineRule="auto"/>
        <w:jc w:val="both"/>
        <w:rPr>
          <w:rFonts w:cs="Arial"/>
          <w:szCs w:val="20"/>
        </w:rPr>
      </w:pPr>
      <w:r>
        <w:rPr>
          <w:rFonts w:cs="Arial"/>
          <w:szCs w:val="20"/>
        </w:rPr>
        <w:t>F</w:t>
      </w:r>
      <w:r w:rsidR="00946C3F">
        <w:rPr>
          <w:rFonts w:cs="Arial"/>
          <w:szCs w:val="20"/>
        </w:rPr>
        <w:t xml:space="preserve">irms may </w:t>
      </w:r>
      <w:r>
        <w:rPr>
          <w:rFonts w:cs="Arial"/>
          <w:szCs w:val="20"/>
        </w:rPr>
        <w:t xml:space="preserve">choose to adopt </w:t>
      </w:r>
      <w:r w:rsidR="00F21AF0">
        <w:rPr>
          <w:rFonts w:cs="Arial"/>
          <w:szCs w:val="20"/>
        </w:rPr>
        <w:t>one of the published simplifications</w:t>
      </w:r>
      <w:r>
        <w:rPr>
          <w:rFonts w:cs="Arial"/>
          <w:szCs w:val="20"/>
        </w:rPr>
        <w:t>, but equally may continue to employ their current TMTP recalculation methodology, including any use of suitable approximations</w:t>
      </w:r>
      <w:r w:rsidR="00962FA1">
        <w:rPr>
          <w:rFonts w:cs="Arial"/>
          <w:szCs w:val="20"/>
        </w:rPr>
        <w:t>;</w:t>
      </w:r>
    </w:p>
    <w:p w14:paraId="518DFB0B" w14:textId="77777777" w:rsidR="00D1166B" w:rsidRDefault="00D1166B" w:rsidP="00ED72E6">
      <w:pPr>
        <w:pStyle w:val="ListParagraph"/>
        <w:spacing w:line="240" w:lineRule="auto"/>
        <w:jc w:val="both"/>
        <w:rPr>
          <w:rFonts w:cs="Arial"/>
          <w:szCs w:val="20"/>
        </w:rPr>
      </w:pPr>
    </w:p>
    <w:p w14:paraId="5C60CB46" w14:textId="36A4849D" w:rsidR="00D1166B" w:rsidRDefault="00D1166B" w:rsidP="00ED72E6">
      <w:pPr>
        <w:pStyle w:val="ListParagraph"/>
        <w:numPr>
          <w:ilvl w:val="0"/>
          <w:numId w:val="35"/>
        </w:numPr>
        <w:spacing w:line="240" w:lineRule="auto"/>
        <w:jc w:val="both"/>
        <w:rPr>
          <w:rFonts w:cs="Arial"/>
          <w:szCs w:val="20"/>
        </w:rPr>
      </w:pPr>
      <w:r>
        <w:rPr>
          <w:rFonts w:cs="Arial"/>
          <w:szCs w:val="20"/>
        </w:rPr>
        <w:t xml:space="preserve">The </w:t>
      </w:r>
      <w:r w:rsidR="00F21AF0">
        <w:rPr>
          <w:rFonts w:cs="Arial"/>
          <w:szCs w:val="20"/>
        </w:rPr>
        <w:t xml:space="preserve">published simplifications </w:t>
      </w:r>
      <w:r>
        <w:rPr>
          <w:rFonts w:cs="Arial"/>
          <w:szCs w:val="20"/>
        </w:rPr>
        <w:t>should ideally be expressed in terms of the sources of TMTP, building on the analysis in the working party paper;</w:t>
      </w:r>
    </w:p>
    <w:p w14:paraId="4F8210DB" w14:textId="77777777" w:rsidR="00D1166B" w:rsidRPr="002F07CA" w:rsidRDefault="00D1166B" w:rsidP="00ED72E6">
      <w:pPr>
        <w:pStyle w:val="ListParagraph"/>
        <w:spacing w:line="240" w:lineRule="auto"/>
        <w:rPr>
          <w:rFonts w:cs="Arial"/>
          <w:szCs w:val="20"/>
        </w:rPr>
      </w:pPr>
    </w:p>
    <w:p w14:paraId="5EF4CC85" w14:textId="0A0DA24F" w:rsidR="000B7DF4" w:rsidRDefault="00D1166B" w:rsidP="00ED72E6">
      <w:pPr>
        <w:pStyle w:val="ListParagraph"/>
        <w:numPr>
          <w:ilvl w:val="0"/>
          <w:numId w:val="35"/>
        </w:numPr>
        <w:spacing w:line="240" w:lineRule="auto"/>
        <w:jc w:val="both"/>
        <w:rPr>
          <w:rFonts w:cs="Arial"/>
          <w:szCs w:val="20"/>
        </w:rPr>
      </w:pPr>
      <w:r>
        <w:rPr>
          <w:rFonts w:cs="Arial"/>
          <w:szCs w:val="20"/>
        </w:rPr>
        <w:t xml:space="preserve">The inputs of any </w:t>
      </w:r>
      <w:r w:rsidR="00F21AF0">
        <w:rPr>
          <w:rFonts w:cs="Arial"/>
          <w:szCs w:val="20"/>
        </w:rPr>
        <w:t xml:space="preserve">published simplifications </w:t>
      </w:r>
      <w:r>
        <w:rPr>
          <w:rFonts w:cs="Arial"/>
          <w:szCs w:val="20"/>
        </w:rPr>
        <w:t>should be those key drivers of the change in TMTP value, the most material being interest rates;</w:t>
      </w:r>
    </w:p>
    <w:p w14:paraId="0F2EBC74" w14:textId="77777777" w:rsidR="00D1166B" w:rsidRPr="002F07CA" w:rsidRDefault="00D1166B" w:rsidP="00ED72E6">
      <w:pPr>
        <w:pStyle w:val="ListParagraph"/>
        <w:spacing w:line="240" w:lineRule="auto"/>
        <w:rPr>
          <w:rFonts w:cs="Arial"/>
          <w:szCs w:val="20"/>
        </w:rPr>
      </w:pPr>
    </w:p>
    <w:p w14:paraId="3EBDB753" w14:textId="4818556A" w:rsidR="00D1166B" w:rsidRDefault="00D1166B" w:rsidP="00ED72E6">
      <w:pPr>
        <w:pStyle w:val="ListParagraph"/>
        <w:numPr>
          <w:ilvl w:val="0"/>
          <w:numId w:val="35"/>
        </w:numPr>
        <w:spacing w:line="240" w:lineRule="auto"/>
        <w:jc w:val="both"/>
        <w:rPr>
          <w:rFonts w:cs="Arial"/>
          <w:szCs w:val="20"/>
        </w:rPr>
      </w:pPr>
      <w:r>
        <w:rPr>
          <w:rFonts w:cs="Arial"/>
          <w:szCs w:val="20"/>
        </w:rPr>
        <w:t xml:space="preserve">The </w:t>
      </w:r>
      <w:r w:rsidR="00F21AF0">
        <w:rPr>
          <w:rFonts w:cs="Arial"/>
          <w:szCs w:val="20"/>
        </w:rPr>
        <w:t xml:space="preserve">published simplifications </w:t>
      </w:r>
      <w:r>
        <w:rPr>
          <w:rFonts w:cs="Arial"/>
          <w:szCs w:val="20"/>
        </w:rPr>
        <w:t xml:space="preserve">would only be considered a success if some, but not necessarily all, insurers were to adopt the emerging approach </w:t>
      </w:r>
      <w:r w:rsidR="0081460F">
        <w:rPr>
          <w:rFonts w:cs="Arial"/>
          <w:szCs w:val="20"/>
        </w:rPr>
        <w:t>as soon as practically possible,</w:t>
      </w:r>
      <w:r>
        <w:rPr>
          <w:rFonts w:cs="Arial"/>
          <w:szCs w:val="20"/>
        </w:rPr>
        <w:t xml:space="preserve"> or over the medium term.  Given the involvement of the ABI, it shoul</w:t>
      </w:r>
      <w:r w:rsidR="006328BD">
        <w:rPr>
          <w:rFonts w:cs="Arial"/>
          <w:szCs w:val="20"/>
        </w:rPr>
        <w:t xml:space="preserve">d be possible to understand the likely “take up rate” </w:t>
      </w:r>
      <w:r>
        <w:rPr>
          <w:rFonts w:cs="Arial"/>
          <w:szCs w:val="20"/>
        </w:rPr>
        <w:t>before significant time and resources are expended on detailed solutions</w:t>
      </w:r>
      <w:r w:rsidR="006328BD">
        <w:rPr>
          <w:rFonts w:cs="Arial"/>
          <w:szCs w:val="20"/>
        </w:rPr>
        <w:t xml:space="preserve"> that will not be sufficiently adopted</w:t>
      </w:r>
      <w:r>
        <w:rPr>
          <w:rFonts w:cs="Arial"/>
          <w:szCs w:val="20"/>
        </w:rPr>
        <w:t>.</w:t>
      </w:r>
    </w:p>
    <w:p w14:paraId="0B53931D" w14:textId="77777777" w:rsidR="006328BD" w:rsidRPr="002F07CA" w:rsidRDefault="006328BD" w:rsidP="002F07CA">
      <w:pPr>
        <w:pStyle w:val="ListParagraph"/>
        <w:rPr>
          <w:rFonts w:cs="Arial"/>
          <w:szCs w:val="20"/>
        </w:rPr>
      </w:pPr>
    </w:p>
    <w:p w14:paraId="30BF8AD4" w14:textId="60804164" w:rsidR="004E6445" w:rsidRPr="00F16740" w:rsidRDefault="00F21AF0" w:rsidP="00F52AB9">
      <w:pPr>
        <w:pStyle w:val="ListParagraph"/>
        <w:numPr>
          <w:ilvl w:val="0"/>
          <w:numId w:val="35"/>
        </w:numPr>
        <w:rPr>
          <w:rFonts w:cs="Arial"/>
          <w:szCs w:val="20"/>
        </w:rPr>
      </w:pPr>
      <w:r>
        <w:rPr>
          <w:rFonts w:cs="Arial"/>
          <w:szCs w:val="20"/>
        </w:rPr>
        <w:lastRenderedPageBreak/>
        <w:t>One of t</w:t>
      </w:r>
      <w:r w:rsidR="006328BD">
        <w:rPr>
          <w:rFonts w:cs="Arial"/>
          <w:szCs w:val="20"/>
        </w:rPr>
        <w:t xml:space="preserve">he </w:t>
      </w:r>
      <w:r w:rsidR="006328BD" w:rsidRPr="006328BD">
        <w:rPr>
          <w:rFonts w:cs="Arial"/>
          <w:szCs w:val="20"/>
        </w:rPr>
        <w:t>main practical challenge</w:t>
      </w:r>
      <w:r w:rsidR="004E6445">
        <w:rPr>
          <w:rFonts w:cs="Arial"/>
          <w:szCs w:val="20"/>
        </w:rPr>
        <w:t>s</w:t>
      </w:r>
      <w:r w:rsidR="006328BD" w:rsidRPr="006328BD">
        <w:rPr>
          <w:rFonts w:cs="Arial"/>
          <w:szCs w:val="20"/>
        </w:rPr>
        <w:t xml:space="preserve"> in recalculating Financial Resource Requirements is the unintended consequences of management actions, rather than </w:t>
      </w:r>
      <w:proofErr w:type="spellStart"/>
      <w:r w:rsidR="006328BD" w:rsidRPr="006328BD">
        <w:rPr>
          <w:rFonts w:cs="Arial"/>
          <w:szCs w:val="20"/>
        </w:rPr>
        <w:t>mis</w:t>
      </w:r>
      <w:proofErr w:type="spellEnd"/>
      <w:r w:rsidR="006328BD" w:rsidRPr="006328BD">
        <w:rPr>
          <w:rFonts w:cs="Arial"/>
          <w:szCs w:val="20"/>
        </w:rPr>
        <w:t xml:space="preserve">-estimation of the impact of economic conditions.  </w:t>
      </w:r>
      <w:r w:rsidR="004E6445" w:rsidRPr="00F16740">
        <w:rPr>
          <w:rFonts w:cs="Arial"/>
          <w:szCs w:val="20"/>
        </w:rPr>
        <w:t>For example</w:t>
      </w:r>
      <w:r w:rsidR="004E6445">
        <w:rPr>
          <w:rFonts w:cs="Arial"/>
          <w:szCs w:val="20"/>
        </w:rPr>
        <w:t xml:space="preserve"> implementing</w:t>
      </w:r>
      <w:r w:rsidR="004E6445" w:rsidRPr="00F16740">
        <w:rPr>
          <w:rFonts w:cs="Arial"/>
          <w:szCs w:val="20"/>
        </w:rPr>
        <w:t xml:space="preserve"> </w:t>
      </w:r>
      <w:r w:rsidR="004E6445">
        <w:rPr>
          <w:rFonts w:cs="Arial"/>
          <w:szCs w:val="20"/>
        </w:rPr>
        <w:t xml:space="preserve">a strategy to hedge market risks arising on unit linked business is likely to reduce the Solvency I Pillar II and Solvency II financial resource requirement (FRR), but could increase the Solvency I Pillar I FRR, and for some firms this would reduce the TMTP. </w:t>
      </w:r>
      <w:r w:rsidR="004E6445">
        <w:rPr>
          <w:rFonts w:cs="Arial"/>
          <w:szCs w:val="20"/>
        </w:rPr>
        <w:t xml:space="preserve">Any approach developed </w:t>
      </w:r>
      <w:r w:rsidR="004E6445" w:rsidRPr="006328BD">
        <w:rPr>
          <w:rFonts w:cs="Arial"/>
          <w:szCs w:val="20"/>
        </w:rPr>
        <w:t xml:space="preserve">should </w:t>
      </w:r>
      <w:r w:rsidR="004E6445">
        <w:rPr>
          <w:rFonts w:cs="Arial"/>
          <w:szCs w:val="20"/>
        </w:rPr>
        <w:t>address this issue.</w:t>
      </w:r>
    </w:p>
    <w:p w14:paraId="2FA3DE86" w14:textId="77777777" w:rsidR="0079615B" w:rsidRDefault="0079615B" w:rsidP="00F52AB9">
      <w:pPr>
        <w:jc w:val="both"/>
        <w:rPr>
          <w:rFonts w:cs="Arial"/>
          <w:szCs w:val="20"/>
        </w:rPr>
      </w:pPr>
    </w:p>
    <w:p w14:paraId="4FD29587" w14:textId="7CD6EB38" w:rsidR="00231E3C" w:rsidRDefault="0079615B" w:rsidP="00F52AB9">
      <w:pPr>
        <w:jc w:val="both"/>
        <w:rPr>
          <w:rFonts w:cs="Arial"/>
          <w:szCs w:val="20"/>
        </w:rPr>
      </w:pPr>
      <w:r>
        <w:rPr>
          <w:rFonts w:cs="Arial"/>
          <w:szCs w:val="20"/>
        </w:rPr>
        <w:t xml:space="preserve">The working party </w:t>
      </w:r>
      <w:r w:rsidR="00231E3C">
        <w:rPr>
          <w:rFonts w:cs="Arial"/>
          <w:szCs w:val="20"/>
        </w:rPr>
        <w:t>have set out our view of the key practical challenges and our views on how these should be dealt with in section 3, including specific ideas on the structure of potential simplifications.</w:t>
      </w:r>
    </w:p>
    <w:p w14:paraId="5BCDABD1" w14:textId="44ADBF2D" w:rsidR="0079615B" w:rsidRDefault="0079615B" w:rsidP="0079615B">
      <w:pPr>
        <w:jc w:val="both"/>
        <w:rPr>
          <w:rFonts w:cs="Arial"/>
          <w:szCs w:val="20"/>
        </w:rPr>
      </w:pPr>
      <w:r>
        <w:rPr>
          <w:rFonts w:cs="Arial"/>
          <w:szCs w:val="20"/>
        </w:rPr>
        <w:t>In addition to addressing the proposal set out by the PRA on how the TMTP is recalculated, the working party also believe that issues concerning the approval process for TMTP recalculation should not be forgotten about.  As noted in our working party paper, TMTP recalculation requires an application to be submitted</w:t>
      </w:r>
      <w:r w:rsidR="00AB4CEB">
        <w:rPr>
          <w:rFonts w:cs="Arial"/>
          <w:szCs w:val="20"/>
        </w:rPr>
        <w:t xml:space="preserve"> to, and approved by, the PRA, and the </w:t>
      </w:r>
      <w:r>
        <w:rPr>
          <w:rFonts w:cs="Arial"/>
          <w:szCs w:val="20"/>
        </w:rPr>
        <w:t>working party believe that this approach is inefficient. The working party believe that TMTP recalculation should operate based on principles agreed upfront</w:t>
      </w:r>
      <w:r w:rsidR="00AB4CEB">
        <w:rPr>
          <w:rFonts w:cs="Arial"/>
          <w:szCs w:val="20"/>
        </w:rPr>
        <w:t xml:space="preserve">, with </w:t>
      </w:r>
      <w:r>
        <w:rPr>
          <w:rFonts w:cs="Arial"/>
          <w:szCs w:val="20"/>
        </w:rPr>
        <w:t xml:space="preserve">the </w:t>
      </w:r>
      <w:proofErr w:type="spellStart"/>
      <w:r>
        <w:rPr>
          <w:rFonts w:cs="Arial"/>
          <w:szCs w:val="20"/>
        </w:rPr>
        <w:t>outworkings</w:t>
      </w:r>
      <w:proofErr w:type="spellEnd"/>
      <w:r>
        <w:rPr>
          <w:rFonts w:cs="Arial"/>
          <w:szCs w:val="20"/>
        </w:rPr>
        <w:t xml:space="preserve"> of these principles </w:t>
      </w:r>
      <w:r w:rsidR="00AB4CEB">
        <w:rPr>
          <w:rFonts w:cs="Arial"/>
          <w:szCs w:val="20"/>
        </w:rPr>
        <w:t xml:space="preserve">resulting </w:t>
      </w:r>
      <w:r>
        <w:rPr>
          <w:rFonts w:cs="Arial"/>
          <w:szCs w:val="20"/>
        </w:rPr>
        <w:t>in a TMTP which changes in a dynamic way.</w:t>
      </w:r>
    </w:p>
    <w:p w14:paraId="688682C4" w14:textId="77777777" w:rsidR="006328BD" w:rsidRDefault="006328BD" w:rsidP="002F07CA">
      <w:pPr>
        <w:pStyle w:val="ListParagraph"/>
        <w:jc w:val="both"/>
        <w:rPr>
          <w:rFonts w:cs="Arial"/>
          <w:szCs w:val="20"/>
        </w:rPr>
      </w:pPr>
    </w:p>
    <w:p w14:paraId="07AB761B" w14:textId="4C83EBC5" w:rsidR="00C91930" w:rsidRDefault="008A14C0" w:rsidP="002C5FE6">
      <w:pPr>
        <w:pStyle w:val="ListParagraph"/>
        <w:numPr>
          <w:ilvl w:val="0"/>
          <w:numId w:val="7"/>
        </w:numPr>
        <w:jc w:val="both"/>
        <w:rPr>
          <w:rFonts w:cs="Arial"/>
          <w:b/>
          <w:szCs w:val="20"/>
        </w:rPr>
      </w:pPr>
      <w:r>
        <w:rPr>
          <w:rFonts w:cs="Arial"/>
          <w:b/>
          <w:szCs w:val="20"/>
        </w:rPr>
        <w:t>Aims of the TMTP simplification project</w:t>
      </w:r>
    </w:p>
    <w:p w14:paraId="01C3D7AB" w14:textId="77777777" w:rsidR="008A14C0" w:rsidRDefault="008A14C0" w:rsidP="008A14C0">
      <w:pPr>
        <w:spacing w:after="0"/>
        <w:jc w:val="both"/>
        <w:rPr>
          <w:rFonts w:cs="Arial"/>
          <w:szCs w:val="20"/>
        </w:rPr>
      </w:pPr>
    </w:p>
    <w:p w14:paraId="05C58427" w14:textId="13FBD587" w:rsidR="008A14C0" w:rsidRPr="008A14C0" w:rsidRDefault="008A14C0" w:rsidP="008A14C0">
      <w:pPr>
        <w:spacing w:after="0"/>
        <w:jc w:val="both"/>
        <w:rPr>
          <w:rFonts w:cs="Arial"/>
          <w:szCs w:val="20"/>
        </w:rPr>
      </w:pPr>
      <w:r w:rsidRPr="008A14C0">
        <w:rPr>
          <w:rFonts w:cs="Arial"/>
          <w:szCs w:val="20"/>
        </w:rPr>
        <w:t>The PRA note outlines the aim of the TMTP simplification project as follows.</w:t>
      </w:r>
    </w:p>
    <w:p w14:paraId="15B48E2B" w14:textId="77777777" w:rsidR="008A14C0" w:rsidRPr="008A14C0" w:rsidRDefault="008A14C0" w:rsidP="008A14C0">
      <w:pPr>
        <w:autoSpaceDE w:val="0"/>
        <w:autoSpaceDN w:val="0"/>
        <w:adjustRightInd w:val="0"/>
        <w:spacing w:after="0" w:line="240" w:lineRule="auto"/>
        <w:rPr>
          <w:rFonts w:cs="Arial"/>
          <w:color w:val="000000"/>
          <w:szCs w:val="20"/>
        </w:rPr>
      </w:pPr>
    </w:p>
    <w:p w14:paraId="087FA972" w14:textId="11F4EAAA" w:rsidR="008A14C0" w:rsidRPr="00F52AB9" w:rsidRDefault="008A14C0" w:rsidP="008A14C0">
      <w:pPr>
        <w:spacing w:after="0"/>
        <w:jc w:val="both"/>
        <w:rPr>
          <w:rFonts w:cs="Arial"/>
          <w:i/>
          <w:color w:val="000000"/>
          <w:szCs w:val="20"/>
        </w:rPr>
      </w:pPr>
      <w:r w:rsidRPr="00F52AB9">
        <w:rPr>
          <w:rFonts w:cs="Arial"/>
          <w:i/>
          <w:color w:val="000000"/>
          <w:szCs w:val="20"/>
        </w:rPr>
        <w:t>“The aim is to find a way of calculating TMTP, for its remaining lifetime of 14 years, which does not require insurance companies to maintain full processes and systems for 3 different valuation bases during that period.”</w:t>
      </w:r>
    </w:p>
    <w:p w14:paraId="79763B98" w14:textId="77777777" w:rsidR="00F21AF0" w:rsidRDefault="00F21AF0" w:rsidP="008A14C0">
      <w:pPr>
        <w:spacing w:after="0"/>
        <w:jc w:val="both"/>
        <w:rPr>
          <w:rFonts w:cs="Arial"/>
          <w:color w:val="000000"/>
          <w:szCs w:val="20"/>
        </w:rPr>
      </w:pPr>
    </w:p>
    <w:p w14:paraId="279E08C4" w14:textId="74C30A7C" w:rsidR="00F21AF0" w:rsidRPr="008A14C0" w:rsidRDefault="00F21AF0" w:rsidP="008A14C0">
      <w:pPr>
        <w:spacing w:after="0"/>
        <w:jc w:val="both"/>
        <w:rPr>
          <w:rFonts w:cs="Arial"/>
          <w:color w:val="000000"/>
          <w:szCs w:val="20"/>
        </w:rPr>
      </w:pPr>
      <w:r>
        <w:t>There are various ways in which this aim could be achieved. At one end of the spectrum, the PRA could produce a simplified formula for calculating TMTP. Alternatively, firms could be left free to develop their own simplifications (with the PRA then deciding whether or not to approve the use of these simplifications). The PRA could perhaps publish a “tool kit” of simplifications which it believes to be acceptable: firms could then use as many of these simplifications as are appropriate for their particular circumstances.</w:t>
      </w:r>
    </w:p>
    <w:p w14:paraId="7F886F94" w14:textId="77777777" w:rsidR="00721DBB" w:rsidRDefault="00721DBB" w:rsidP="00EC498C">
      <w:pPr>
        <w:spacing w:after="0"/>
        <w:rPr>
          <w:rFonts w:cs="Arial"/>
          <w:szCs w:val="20"/>
        </w:rPr>
      </w:pPr>
    </w:p>
    <w:p w14:paraId="302D895C" w14:textId="534A363F" w:rsidR="00721DBB" w:rsidRDefault="008A14C0" w:rsidP="00EC498C">
      <w:pPr>
        <w:rPr>
          <w:rFonts w:cs="Arial"/>
          <w:szCs w:val="20"/>
        </w:rPr>
      </w:pPr>
      <w:r w:rsidRPr="00721DBB">
        <w:rPr>
          <w:rFonts w:cs="Arial"/>
          <w:szCs w:val="20"/>
        </w:rPr>
        <w:t xml:space="preserve">The working party believe </w:t>
      </w:r>
      <w:r w:rsidR="00721DBB" w:rsidRPr="00721DBB">
        <w:rPr>
          <w:rFonts w:cs="Arial"/>
          <w:szCs w:val="20"/>
        </w:rPr>
        <w:t>in practi</w:t>
      </w:r>
      <w:r w:rsidR="00243181">
        <w:rPr>
          <w:rFonts w:cs="Arial"/>
          <w:szCs w:val="20"/>
        </w:rPr>
        <w:t>c</w:t>
      </w:r>
      <w:r w:rsidR="00721DBB" w:rsidRPr="00721DBB">
        <w:rPr>
          <w:rFonts w:cs="Arial"/>
          <w:szCs w:val="20"/>
        </w:rPr>
        <w:t>e</w:t>
      </w:r>
      <w:r w:rsidR="00F21AF0">
        <w:rPr>
          <w:rFonts w:cs="Arial"/>
          <w:szCs w:val="20"/>
        </w:rPr>
        <w:t xml:space="preserve"> it</w:t>
      </w:r>
      <w:r w:rsidR="00721DBB" w:rsidRPr="00721DBB">
        <w:rPr>
          <w:rFonts w:cs="Arial"/>
          <w:szCs w:val="20"/>
        </w:rPr>
        <w:t xml:space="preserve"> is unlikely that a single formula for recalculation would satisfy all firms. </w:t>
      </w:r>
      <w:r w:rsidR="00721DBB">
        <w:rPr>
          <w:rFonts w:cs="Arial"/>
          <w:szCs w:val="20"/>
        </w:rPr>
        <w:t>Not withstanding the nature of the formula(s) which are developed as part of the TMTP simplification project, the project should also seek to understand:</w:t>
      </w:r>
    </w:p>
    <w:p w14:paraId="42A14646" w14:textId="444AA5C6" w:rsidR="00721DBB" w:rsidRDefault="00721DBB" w:rsidP="00EC498C">
      <w:pPr>
        <w:pStyle w:val="ListParagraph"/>
        <w:numPr>
          <w:ilvl w:val="0"/>
          <w:numId w:val="28"/>
        </w:numPr>
        <w:rPr>
          <w:rFonts w:cs="Arial"/>
          <w:szCs w:val="20"/>
        </w:rPr>
      </w:pPr>
      <w:r>
        <w:rPr>
          <w:rFonts w:cs="Arial"/>
          <w:szCs w:val="20"/>
        </w:rPr>
        <w:t>The likelihood of the adoption of such formula(s) by firms given their adoption is not mandatory</w:t>
      </w:r>
      <w:r w:rsidR="00A75754">
        <w:rPr>
          <w:rFonts w:cs="Arial"/>
          <w:szCs w:val="20"/>
        </w:rPr>
        <w:t>.</w:t>
      </w:r>
    </w:p>
    <w:p w14:paraId="67DB2440" w14:textId="1D6935C9" w:rsidR="00A75754" w:rsidRDefault="00A75754" w:rsidP="00EC498C">
      <w:pPr>
        <w:pStyle w:val="ListParagraph"/>
        <w:numPr>
          <w:ilvl w:val="0"/>
          <w:numId w:val="28"/>
        </w:numPr>
        <w:rPr>
          <w:rFonts w:cs="Arial"/>
          <w:szCs w:val="20"/>
        </w:rPr>
      </w:pPr>
      <w:r>
        <w:rPr>
          <w:rFonts w:cs="Arial"/>
          <w:szCs w:val="20"/>
        </w:rPr>
        <w:t xml:space="preserve">In particular where firms have chosen to maintain or </w:t>
      </w:r>
      <w:r w:rsidRPr="00A75754">
        <w:rPr>
          <w:rFonts w:cs="Arial"/>
          <w:szCs w:val="20"/>
        </w:rPr>
        <w:t>‘sunk cost’ into existing recalcula</w:t>
      </w:r>
      <w:r>
        <w:rPr>
          <w:rFonts w:cs="Arial"/>
          <w:szCs w:val="20"/>
        </w:rPr>
        <w:t xml:space="preserve">tion methods, there may be hesitance to adopt a new TMTP recalculation method.  </w:t>
      </w:r>
    </w:p>
    <w:p w14:paraId="667312F0" w14:textId="335988AC" w:rsidR="00A75754" w:rsidRDefault="00A75754" w:rsidP="00EC498C">
      <w:pPr>
        <w:pStyle w:val="ListParagraph"/>
        <w:numPr>
          <w:ilvl w:val="0"/>
          <w:numId w:val="28"/>
        </w:numPr>
        <w:rPr>
          <w:rFonts w:cs="Arial"/>
          <w:szCs w:val="20"/>
        </w:rPr>
      </w:pPr>
      <w:r>
        <w:rPr>
          <w:rFonts w:cs="Arial"/>
          <w:szCs w:val="20"/>
        </w:rPr>
        <w:t>Therefore an approach should be mindful of the need not to be so generic that it do</w:t>
      </w:r>
      <w:r w:rsidR="00AB4CEB">
        <w:rPr>
          <w:rFonts w:cs="Arial"/>
          <w:szCs w:val="20"/>
        </w:rPr>
        <w:t xml:space="preserve">es not </w:t>
      </w:r>
      <w:r>
        <w:rPr>
          <w:rFonts w:cs="Arial"/>
          <w:szCs w:val="20"/>
        </w:rPr>
        <w:t>result in any firm adopting it.</w:t>
      </w:r>
    </w:p>
    <w:p w14:paraId="69025341" w14:textId="77777777" w:rsidR="00256A89" w:rsidRDefault="00256A89" w:rsidP="00EC498C">
      <w:pPr>
        <w:spacing w:after="0"/>
        <w:rPr>
          <w:rFonts w:cs="Arial"/>
          <w:szCs w:val="20"/>
        </w:rPr>
      </w:pPr>
    </w:p>
    <w:p w14:paraId="62826407" w14:textId="0CDD052E" w:rsidR="00256A89" w:rsidRDefault="00256A89" w:rsidP="00EC498C">
      <w:pPr>
        <w:rPr>
          <w:rFonts w:cs="Arial"/>
          <w:szCs w:val="20"/>
        </w:rPr>
      </w:pPr>
      <w:r>
        <w:rPr>
          <w:rFonts w:cs="Arial"/>
          <w:szCs w:val="20"/>
        </w:rPr>
        <w:t xml:space="preserve">Overall this project should gauge the opinions of firms on </w:t>
      </w:r>
      <w:r w:rsidR="0044215C">
        <w:rPr>
          <w:rFonts w:cs="Arial"/>
          <w:szCs w:val="20"/>
        </w:rPr>
        <w:t xml:space="preserve">which </w:t>
      </w:r>
      <w:r w:rsidR="004E4CA8">
        <w:rPr>
          <w:rFonts w:cs="Arial"/>
          <w:szCs w:val="20"/>
        </w:rPr>
        <w:t>of the proposed published simplifications</w:t>
      </w:r>
      <w:r w:rsidR="0044215C">
        <w:rPr>
          <w:rFonts w:cs="Arial"/>
          <w:szCs w:val="20"/>
        </w:rPr>
        <w:t xml:space="preserve"> are likely to be adopted </w:t>
      </w:r>
      <w:r>
        <w:rPr>
          <w:rFonts w:cs="Arial"/>
          <w:szCs w:val="20"/>
        </w:rPr>
        <w:t xml:space="preserve">prior to investing excessive time and resources on developing </w:t>
      </w:r>
      <w:r w:rsidR="00B63DEB">
        <w:rPr>
          <w:rFonts w:cs="Arial"/>
          <w:szCs w:val="20"/>
        </w:rPr>
        <w:t xml:space="preserve">any </w:t>
      </w:r>
      <w:r w:rsidR="000E788C">
        <w:rPr>
          <w:rFonts w:cs="Arial"/>
          <w:szCs w:val="20"/>
        </w:rPr>
        <w:t>specific</w:t>
      </w:r>
      <w:r w:rsidR="004E4CA8">
        <w:rPr>
          <w:rFonts w:cs="Arial"/>
          <w:szCs w:val="20"/>
        </w:rPr>
        <w:t xml:space="preserve"> published simplification</w:t>
      </w:r>
      <w:r w:rsidR="00962FA1">
        <w:rPr>
          <w:rFonts w:cs="Arial"/>
          <w:szCs w:val="20"/>
        </w:rPr>
        <w:t>s</w:t>
      </w:r>
      <w:r w:rsidR="004E4CA8">
        <w:rPr>
          <w:rFonts w:cs="Arial"/>
          <w:szCs w:val="20"/>
        </w:rPr>
        <w:t>.</w:t>
      </w:r>
    </w:p>
    <w:p w14:paraId="60E0AABC" w14:textId="7F0EBDDB" w:rsidR="00796188" w:rsidRDefault="00796188" w:rsidP="00EC498C">
      <w:pPr>
        <w:rPr>
          <w:rFonts w:cs="Arial"/>
          <w:szCs w:val="20"/>
        </w:rPr>
      </w:pPr>
      <w:r>
        <w:rPr>
          <w:rFonts w:cs="Arial"/>
          <w:szCs w:val="20"/>
        </w:rPr>
        <w:lastRenderedPageBreak/>
        <w:t>The project should use this information to understand what the project success criteria are.  It may view the following as part of this:</w:t>
      </w:r>
    </w:p>
    <w:p w14:paraId="738C3580" w14:textId="5F4913E4" w:rsidR="00796188" w:rsidRDefault="00796188" w:rsidP="00EC498C">
      <w:pPr>
        <w:pStyle w:val="ListParagraph"/>
        <w:numPr>
          <w:ilvl w:val="0"/>
          <w:numId w:val="29"/>
        </w:numPr>
        <w:rPr>
          <w:rFonts w:cs="Arial"/>
          <w:szCs w:val="20"/>
        </w:rPr>
      </w:pPr>
      <w:r>
        <w:rPr>
          <w:rFonts w:cs="Arial"/>
          <w:szCs w:val="20"/>
        </w:rPr>
        <w:t xml:space="preserve">An adoption of </w:t>
      </w:r>
      <w:r w:rsidR="004E4CA8">
        <w:rPr>
          <w:rFonts w:cs="Arial"/>
          <w:szCs w:val="20"/>
        </w:rPr>
        <w:t>published simplifications</w:t>
      </w:r>
      <w:r w:rsidR="004E4CA8" w:rsidDel="004E4CA8">
        <w:rPr>
          <w:rFonts w:cs="Arial"/>
          <w:szCs w:val="20"/>
        </w:rPr>
        <w:t xml:space="preserve"> </w:t>
      </w:r>
      <w:r>
        <w:rPr>
          <w:rFonts w:cs="Arial"/>
          <w:szCs w:val="20"/>
        </w:rPr>
        <w:t>by a significant number of firms in full, or in part, for the first TMTP recalculation following the implementation day of this approach;</w:t>
      </w:r>
    </w:p>
    <w:p w14:paraId="71BB7F66" w14:textId="77777777" w:rsidR="00796188" w:rsidRDefault="00796188" w:rsidP="00EC498C">
      <w:pPr>
        <w:pStyle w:val="ListParagraph"/>
        <w:rPr>
          <w:rFonts w:cs="Arial"/>
          <w:szCs w:val="20"/>
        </w:rPr>
      </w:pPr>
    </w:p>
    <w:p w14:paraId="7396791C" w14:textId="28918581" w:rsidR="00796188" w:rsidRDefault="00796188" w:rsidP="00EC498C">
      <w:pPr>
        <w:pStyle w:val="ListParagraph"/>
        <w:numPr>
          <w:ilvl w:val="0"/>
          <w:numId w:val="29"/>
        </w:numPr>
        <w:rPr>
          <w:rFonts w:cs="Arial"/>
          <w:szCs w:val="20"/>
        </w:rPr>
      </w:pPr>
      <w:r>
        <w:rPr>
          <w:rFonts w:cs="Arial"/>
          <w:szCs w:val="20"/>
        </w:rPr>
        <w:t>Or the likely adoption by a significant number of firms in the future;</w:t>
      </w:r>
    </w:p>
    <w:p w14:paraId="41136E94" w14:textId="77777777" w:rsidR="00796188" w:rsidRDefault="00796188" w:rsidP="00EC498C">
      <w:pPr>
        <w:pStyle w:val="ListParagraph"/>
        <w:rPr>
          <w:rFonts w:cs="Arial"/>
          <w:szCs w:val="20"/>
        </w:rPr>
      </w:pPr>
    </w:p>
    <w:p w14:paraId="1341A808" w14:textId="0EDE68DC" w:rsidR="00796188" w:rsidRDefault="00796188" w:rsidP="00EC498C">
      <w:pPr>
        <w:pStyle w:val="ListParagraph"/>
        <w:numPr>
          <w:ilvl w:val="0"/>
          <w:numId w:val="29"/>
        </w:numPr>
        <w:rPr>
          <w:rFonts w:cs="Arial"/>
          <w:szCs w:val="20"/>
        </w:rPr>
      </w:pPr>
      <w:r>
        <w:rPr>
          <w:rFonts w:cs="Arial"/>
          <w:szCs w:val="20"/>
        </w:rPr>
        <w:t>Demonstrating the desire of the parties involved to work collaboratively on an industry wide</w:t>
      </w:r>
      <w:r w:rsidR="00A66463">
        <w:rPr>
          <w:rFonts w:cs="Arial"/>
          <w:szCs w:val="20"/>
        </w:rPr>
        <w:t xml:space="preserve"> issue. </w:t>
      </w:r>
    </w:p>
    <w:p w14:paraId="13B8D409" w14:textId="161C6F42" w:rsidR="00A66463" w:rsidRDefault="00A66463">
      <w:pPr>
        <w:rPr>
          <w:rFonts w:cs="Arial"/>
          <w:szCs w:val="20"/>
        </w:rPr>
      </w:pPr>
    </w:p>
    <w:p w14:paraId="22DB07DF" w14:textId="2E472437" w:rsidR="00721DBB" w:rsidRDefault="00721DBB" w:rsidP="00A75754">
      <w:pPr>
        <w:pStyle w:val="ListParagraph"/>
        <w:numPr>
          <w:ilvl w:val="0"/>
          <w:numId w:val="7"/>
        </w:numPr>
        <w:jc w:val="both"/>
        <w:rPr>
          <w:rFonts w:cs="Arial"/>
          <w:b/>
          <w:szCs w:val="20"/>
        </w:rPr>
      </w:pPr>
      <w:r w:rsidRPr="00EC498C">
        <w:rPr>
          <w:rFonts w:cs="Arial"/>
          <w:b/>
          <w:szCs w:val="20"/>
        </w:rPr>
        <w:lastRenderedPageBreak/>
        <w:t xml:space="preserve">Principles of the </w:t>
      </w:r>
      <w:r w:rsidRPr="00721DBB">
        <w:rPr>
          <w:rFonts w:cs="Arial"/>
          <w:b/>
          <w:szCs w:val="20"/>
        </w:rPr>
        <w:t>TMTP simplification project</w:t>
      </w:r>
    </w:p>
    <w:p w14:paraId="7EC66FCC" w14:textId="77777777" w:rsidR="00A75754" w:rsidRDefault="00A75754" w:rsidP="00EC498C">
      <w:pPr>
        <w:spacing w:after="0"/>
        <w:jc w:val="both"/>
        <w:rPr>
          <w:rFonts w:cs="Arial"/>
          <w:szCs w:val="20"/>
        </w:rPr>
      </w:pPr>
    </w:p>
    <w:p w14:paraId="649FF016" w14:textId="749E29F5" w:rsidR="00A75754" w:rsidRDefault="00A75754" w:rsidP="00EC498C">
      <w:pPr>
        <w:spacing w:after="0"/>
        <w:jc w:val="both"/>
        <w:rPr>
          <w:rFonts w:cs="Arial"/>
          <w:szCs w:val="20"/>
        </w:rPr>
      </w:pPr>
      <w:r>
        <w:rPr>
          <w:rFonts w:cs="Arial"/>
          <w:szCs w:val="20"/>
        </w:rPr>
        <w:t xml:space="preserve">The TMTP working party </w:t>
      </w:r>
      <w:r w:rsidR="00AB4CEB">
        <w:rPr>
          <w:rFonts w:cs="Arial"/>
          <w:szCs w:val="20"/>
        </w:rPr>
        <w:t xml:space="preserve">believes the following should be </w:t>
      </w:r>
      <w:r>
        <w:rPr>
          <w:rFonts w:cs="Arial"/>
          <w:szCs w:val="20"/>
        </w:rPr>
        <w:t>principles of the TMTP simplification project</w:t>
      </w:r>
      <w:r w:rsidR="00256A89">
        <w:rPr>
          <w:rFonts w:cs="Arial"/>
          <w:szCs w:val="20"/>
        </w:rPr>
        <w:t>.</w:t>
      </w:r>
    </w:p>
    <w:p w14:paraId="0BA11BC8" w14:textId="7A4520BA" w:rsidR="00A75754" w:rsidRDefault="00A75754" w:rsidP="00EC498C">
      <w:pPr>
        <w:spacing w:after="0"/>
        <w:jc w:val="both"/>
        <w:rPr>
          <w:rFonts w:cs="Arial"/>
          <w:szCs w:val="20"/>
        </w:rPr>
      </w:pPr>
    </w:p>
    <w:p w14:paraId="722B98F5" w14:textId="6AA93DB5" w:rsidR="00A75754" w:rsidRDefault="00A75754" w:rsidP="00EC498C">
      <w:pPr>
        <w:pStyle w:val="ListParagraph"/>
        <w:numPr>
          <w:ilvl w:val="1"/>
          <w:numId w:val="7"/>
        </w:numPr>
        <w:jc w:val="both"/>
        <w:rPr>
          <w:rFonts w:cs="Arial"/>
          <w:szCs w:val="20"/>
        </w:rPr>
      </w:pPr>
      <w:r>
        <w:rPr>
          <w:rFonts w:cs="Arial"/>
          <w:szCs w:val="20"/>
        </w:rPr>
        <w:t xml:space="preserve">‘Internal’ </w:t>
      </w:r>
      <w:r w:rsidR="000E788C">
        <w:rPr>
          <w:rFonts w:cs="Arial"/>
          <w:szCs w:val="20"/>
        </w:rPr>
        <w:t xml:space="preserve">approach </w:t>
      </w:r>
      <w:r>
        <w:rPr>
          <w:rFonts w:cs="Arial"/>
          <w:szCs w:val="20"/>
        </w:rPr>
        <w:t xml:space="preserve">vs </w:t>
      </w:r>
      <w:r w:rsidR="000E788C">
        <w:rPr>
          <w:rFonts w:cs="Arial"/>
          <w:szCs w:val="20"/>
        </w:rPr>
        <w:t>using a published simplification</w:t>
      </w:r>
    </w:p>
    <w:p w14:paraId="4B8E54E7" w14:textId="77777777" w:rsidR="00256A89" w:rsidRDefault="00256A89" w:rsidP="00EC498C">
      <w:pPr>
        <w:spacing w:after="0"/>
        <w:jc w:val="both"/>
        <w:rPr>
          <w:rFonts w:cs="Arial"/>
          <w:szCs w:val="20"/>
        </w:rPr>
      </w:pPr>
    </w:p>
    <w:p w14:paraId="04CD1AEB" w14:textId="2FC82ACB" w:rsidR="00256A89" w:rsidRPr="00517B8A" w:rsidRDefault="00256A89" w:rsidP="00EC498C">
      <w:pPr>
        <w:ind w:firstLine="720"/>
        <w:jc w:val="both"/>
        <w:rPr>
          <w:rFonts w:cs="Arial"/>
          <w:szCs w:val="20"/>
        </w:rPr>
      </w:pPr>
      <w:r>
        <w:rPr>
          <w:rFonts w:cs="Arial"/>
          <w:szCs w:val="20"/>
        </w:rPr>
        <w:t>This principle aligns to the second principle in the PRA TMTP simplification project note.</w:t>
      </w:r>
    </w:p>
    <w:p w14:paraId="4304D02E" w14:textId="68E9D23A" w:rsidR="00A75754" w:rsidRDefault="00A75754" w:rsidP="00EC498C">
      <w:pPr>
        <w:ind w:left="720"/>
        <w:jc w:val="both"/>
        <w:rPr>
          <w:rFonts w:cs="Arial"/>
          <w:szCs w:val="20"/>
        </w:rPr>
      </w:pPr>
      <w:r w:rsidRPr="00EC498C">
        <w:rPr>
          <w:rFonts w:cs="Arial"/>
          <w:szCs w:val="20"/>
        </w:rPr>
        <w:t xml:space="preserve">The working party </w:t>
      </w:r>
      <w:r>
        <w:rPr>
          <w:rFonts w:cs="Arial"/>
          <w:szCs w:val="20"/>
        </w:rPr>
        <w:t xml:space="preserve">believe the most important principle of the TMTP simplification project is that firms should be able to maintain an ‘internal’ approach to TMTP recalculation or can elect to follow </w:t>
      </w:r>
      <w:r w:rsidR="000E788C">
        <w:rPr>
          <w:rFonts w:cs="Arial"/>
          <w:szCs w:val="20"/>
        </w:rPr>
        <w:t>a published simplification</w:t>
      </w:r>
      <w:r>
        <w:rPr>
          <w:rFonts w:cs="Arial"/>
          <w:szCs w:val="20"/>
        </w:rPr>
        <w:t xml:space="preserve">.  In particular a firm may view the costs and benefits associated with an ‘internal’ approach outweigh the costs and benefits of adopting a </w:t>
      </w:r>
      <w:r w:rsidR="000E788C">
        <w:rPr>
          <w:rFonts w:cs="Arial"/>
          <w:szCs w:val="20"/>
        </w:rPr>
        <w:t>published simplification</w:t>
      </w:r>
    </w:p>
    <w:p w14:paraId="3DC376C2" w14:textId="6D32E2D8" w:rsidR="00256A89" w:rsidRDefault="00256A89" w:rsidP="00EC498C">
      <w:pPr>
        <w:ind w:left="720"/>
        <w:rPr>
          <w:rFonts w:cs="Arial"/>
          <w:szCs w:val="20"/>
        </w:rPr>
      </w:pPr>
      <w:r>
        <w:rPr>
          <w:rFonts w:cs="Arial"/>
          <w:szCs w:val="20"/>
        </w:rPr>
        <w:t>Though</w:t>
      </w:r>
      <w:r w:rsidR="00A75754">
        <w:rPr>
          <w:rFonts w:cs="Arial"/>
          <w:szCs w:val="20"/>
        </w:rPr>
        <w:t xml:space="preserve"> it is </w:t>
      </w:r>
      <w:r w:rsidR="00A75754" w:rsidRPr="00F16740">
        <w:rPr>
          <w:rFonts w:cs="Arial"/>
          <w:szCs w:val="20"/>
        </w:rPr>
        <w:t xml:space="preserve">noted a firm may choose to transfer from their ‘internal’ method </w:t>
      </w:r>
      <w:r w:rsidR="000E788C">
        <w:rPr>
          <w:rFonts w:cs="Arial"/>
          <w:szCs w:val="20"/>
        </w:rPr>
        <w:t>a published simplification</w:t>
      </w:r>
      <w:r w:rsidR="000E788C" w:rsidRPr="00F16740" w:rsidDel="000E788C">
        <w:rPr>
          <w:rFonts w:cs="Arial"/>
          <w:szCs w:val="20"/>
        </w:rPr>
        <w:t xml:space="preserve"> </w:t>
      </w:r>
      <w:r w:rsidR="00A75754" w:rsidRPr="00F16740">
        <w:rPr>
          <w:rFonts w:cs="Arial"/>
          <w:szCs w:val="20"/>
        </w:rPr>
        <w:t>as the materiality of the TMTP reduces over time.</w:t>
      </w:r>
    </w:p>
    <w:p w14:paraId="37E60A7D" w14:textId="77777777" w:rsidR="00256A89" w:rsidRDefault="00256A89" w:rsidP="00EC498C">
      <w:pPr>
        <w:spacing w:after="0"/>
        <w:ind w:left="720"/>
        <w:rPr>
          <w:rFonts w:cs="Arial"/>
          <w:szCs w:val="20"/>
        </w:rPr>
      </w:pPr>
    </w:p>
    <w:p w14:paraId="0EAFD0B0" w14:textId="75586748" w:rsidR="00256A89" w:rsidRPr="00EC498C" w:rsidRDefault="00256A89" w:rsidP="00EC498C">
      <w:pPr>
        <w:pStyle w:val="ListParagraph"/>
        <w:numPr>
          <w:ilvl w:val="1"/>
          <w:numId w:val="7"/>
        </w:numPr>
        <w:jc w:val="both"/>
        <w:rPr>
          <w:rFonts w:cs="Arial"/>
          <w:szCs w:val="20"/>
        </w:rPr>
      </w:pPr>
      <w:r w:rsidRPr="00EC498C">
        <w:rPr>
          <w:rFonts w:cs="Arial"/>
          <w:szCs w:val="20"/>
        </w:rPr>
        <w:t xml:space="preserve">TMTP recalculation method </w:t>
      </w:r>
      <w:r>
        <w:rPr>
          <w:rFonts w:cs="Arial"/>
          <w:szCs w:val="20"/>
        </w:rPr>
        <w:t xml:space="preserve">should </w:t>
      </w:r>
      <w:r w:rsidRPr="00EC498C">
        <w:rPr>
          <w:rFonts w:cs="Arial"/>
          <w:szCs w:val="20"/>
        </w:rPr>
        <w:t xml:space="preserve">not require firms to maintain full legacy systems </w:t>
      </w:r>
    </w:p>
    <w:p w14:paraId="06606C04" w14:textId="77777777" w:rsidR="00721DBB" w:rsidRDefault="00721DBB" w:rsidP="00EC498C">
      <w:pPr>
        <w:pStyle w:val="ListParagraph"/>
        <w:ind w:left="360"/>
        <w:jc w:val="both"/>
        <w:rPr>
          <w:rFonts w:cs="Arial"/>
          <w:b/>
          <w:szCs w:val="20"/>
        </w:rPr>
      </w:pPr>
    </w:p>
    <w:p w14:paraId="4DC7448E" w14:textId="7A41F80F" w:rsidR="00256A89" w:rsidRDefault="00256A89" w:rsidP="00EC498C">
      <w:pPr>
        <w:ind w:firstLine="720"/>
        <w:jc w:val="both"/>
        <w:rPr>
          <w:rFonts w:cs="Arial"/>
          <w:szCs w:val="20"/>
        </w:rPr>
      </w:pPr>
      <w:r>
        <w:rPr>
          <w:rFonts w:cs="Arial"/>
          <w:szCs w:val="20"/>
        </w:rPr>
        <w:t>This principle aligns to the first principle in the PRA TMTP simplification project note.</w:t>
      </w:r>
    </w:p>
    <w:p w14:paraId="03D6F9CB" w14:textId="49057C1A" w:rsidR="00A66463" w:rsidRDefault="00A66463" w:rsidP="00EC498C">
      <w:pPr>
        <w:ind w:left="720"/>
        <w:jc w:val="both"/>
        <w:rPr>
          <w:rFonts w:cs="Arial"/>
          <w:szCs w:val="20"/>
        </w:rPr>
      </w:pPr>
      <w:r>
        <w:rPr>
          <w:rFonts w:cs="Arial"/>
          <w:szCs w:val="20"/>
        </w:rPr>
        <w:t xml:space="preserve">This aligns to the overall aim of the TMTP simplification project, although the working party view this ‘principle’ as </w:t>
      </w:r>
      <w:r w:rsidR="007C12C7">
        <w:rPr>
          <w:rFonts w:cs="Arial"/>
          <w:szCs w:val="20"/>
        </w:rPr>
        <w:t xml:space="preserve">being the </w:t>
      </w:r>
      <w:r>
        <w:rPr>
          <w:rFonts w:cs="Arial"/>
          <w:szCs w:val="20"/>
        </w:rPr>
        <w:t xml:space="preserve">outcome of </w:t>
      </w:r>
      <w:r w:rsidR="007A7B69">
        <w:rPr>
          <w:rFonts w:cs="Arial"/>
          <w:szCs w:val="20"/>
        </w:rPr>
        <w:t xml:space="preserve">the TMTP simplification project </w:t>
      </w:r>
      <w:r w:rsidR="007C12C7">
        <w:rPr>
          <w:rFonts w:cs="Arial"/>
          <w:szCs w:val="20"/>
        </w:rPr>
        <w:t xml:space="preserve">i.e. it results in an approach that </w:t>
      </w:r>
      <w:r>
        <w:rPr>
          <w:rFonts w:cs="Arial"/>
          <w:szCs w:val="20"/>
        </w:rPr>
        <w:t xml:space="preserve">is sufficiently simplified, sufficiently </w:t>
      </w:r>
      <w:r w:rsidR="007C12C7">
        <w:rPr>
          <w:rFonts w:cs="Arial"/>
          <w:szCs w:val="20"/>
        </w:rPr>
        <w:t xml:space="preserve">widely </w:t>
      </w:r>
      <w:r>
        <w:rPr>
          <w:rFonts w:cs="Arial"/>
          <w:szCs w:val="20"/>
        </w:rPr>
        <w:t xml:space="preserve">adopted and </w:t>
      </w:r>
      <w:r w:rsidR="007C12C7">
        <w:rPr>
          <w:rFonts w:cs="Arial"/>
          <w:szCs w:val="20"/>
        </w:rPr>
        <w:t xml:space="preserve">uses </w:t>
      </w:r>
      <w:r>
        <w:rPr>
          <w:rFonts w:cs="Arial"/>
          <w:szCs w:val="20"/>
        </w:rPr>
        <w:t>reasonable approximations.</w:t>
      </w:r>
    </w:p>
    <w:p w14:paraId="5C418208" w14:textId="77777777" w:rsidR="00A66463" w:rsidRPr="00517B8A" w:rsidRDefault="00A66463" w:rsidP="00EC498C">
      <w:pPr>
        <w:spacing w:after="0"/>
        <w:ind w:firstLine="720"/>
        <w:jc w:val="both"/>
        <w:rPr>
          <w:rFonts w:cs="Arial"/>
          <w:szCs w:val="20"/>
        </w:rPr>
      </w:pPr>
    </w:p>
    <w:p w14:paraId="72562163" w14:textId="77777777" w:rsidR="00A66463" w:rsidRPr="00517B8A" w:rsidRDefault="00A66463" w:rsidP="00A66463">
      <w:pPr>
        <w:pStyle w:val="ListParagraph"/>
        <w:numPr>
          <w:ilvl w:val="1"/>
          <w:numId w:val="7"/>
        </w:numPr>
        <w:jc w:val="both"/>
        <w:rPr>
          <w:rFonts w:cs="Arial"/>
          <w:color w:val="000000"/>
          <w:sz w:val="22"/>
        </w:rPr>
      </w:pPr>
      <w:r w:rsidRPr="00517B8A">
        <w:rPr>
          <w:rFonts w:cs="Arial"/>
          <w:szCs w:val="20"/>
        </w:rPr>
        <w:t>Reasonableness of approximations</w:t>
      </w:r>
    </w:p>
    <w:p w14:paraId="6D4BCE72" w14:textId="77777777" w:rsidR="00A66463" w:rsidRDefault="00A66463" w:rsidP="00A66463">
      <w:pPr>
        <w:pStyle w:val="ListParagraph"/>
        <w:ind w:left="360" w:firstLine="360"/>
        <w:jc w:val="both"/>
        <w:rPr>
          <w:rFonts w:cs="Arial"/>
          <w:szCs w:val="20"/>
        </w:rPr>
      </w:pPr>
    </w:p>
    <w:p w14:paraId="103BD272" w14:textId="77777777" w:rsidR="00A66463" w:rsidRPr="00256A89" w:rsidRDefault="00A66463" w:rsidP="00A66463">
      <w:pPr>
        <w:pStyle w:val="ListParagraph"/>
        <w:ind w:left="360" w:firstLine="360"/>
        <w:jc w:val="both"/>
        <w:rPr>
          <w:rFonts w:cs="Arial"/>
          <w:szCs w:val="20"/>
        </w:rPr>
      </w:pPr>
      <w:r w:rsidRPr="00256A89">
        <w:rPr>
          <w:rFonts w:cs="Arial"/>
          <w:szCs w:val="20"/>
        </w:rPr>
        <w:t xml:space="preserve">This principle aligns to </w:t>
      </w:r>
      <w:r>
        <w:rPr>
          <w:rFonts w:cs="Arial"/>
          <w:szCs w:val="20"/>
        </w:rPr>
        <w:t>the fourth</w:t>
      </w:r>
      <w:r w:rsidRPr="00256A89">
        <w:rPr>
          <w:rFonts w:cs="Arial"/>
          <w:szCs w:val="20"/>
        </w:rPr>
        <w:t xml:space="preserve"> principle in the PRA TMTP simplification project note.</w:t>
      </w:r>
    </w:p>
    <w:p w14:paraId="4DDE59D5" w14:textId="77777777" w:rsidR="00256A89" w:rsidRDefault="00256A89" w:rsidP="00256A89">
      <w:pPr>
        <w:autoSpaceDE w:val="0"/>
        <w:autoSpaceDN w:val="0"/>
        <w:adjustRightInd w:val="0"/>
        <w:spacing w:after="0" w:line="240" w:lineRule="auto"/>
        <w:rPr>
          <w:rFonts w:cs="Arial"/>
          <w:color w:val="000000"/>
          <w:sz w:val="24"/>
          <w:szCs w:val="24"/>
        </w:rPr>
      </w:pPr>
    </w:p>
    <w:p w14:paraId="7025B6BC" w14:textId="44EAEAFF" w:rsidR="00A66463" w:rsidRDefault="00A66463" w:rsidP="00256A89">
      <w:pPr>
        <w:autoSpaceDE w:val="0"/>
        <w:autoSpaceDN w:val="0"/>
        <w:adjustRightInd w:val="0"/>
        <w:spacing w:after="0" w:line="240" w:lineRule="auto"/>
        <w:rPr>
          <w:rFonts w:cs="Arial"/>
          <w:szCs w:val="20"/>
        </w:rPr>
      </w:pPr>
      <w:r>
        <w:rPr>
          <w:rFonts w:cs="Arial"/>
          <w:color w:val="000000"/>
          <w:sz w:val="24"/>
          <w:szCs w:val="24"/>
        </w:rPr>
        <w:tab/>
      </w:r>
      <w:r w:rsidRPr="00EC498C">
        <w:rPr>
          <w:rFonts w:cs="Arial"/>
          <w:szCs w:val="20"/>
        </w:rPr>
        <w:t>The reasonable</w:t>
      </w:r>
      <w:r w:rsidR="00622067">
        <w:rPr>
          <w:rFonts w:cs="Arial"/>
          <w:szCs w:val="20"/>
        </w:rPr>
        <w:t>ness</w:t>
      </w:r>
      <w:r w:rsidRPr="00EC498C">
        <w:rPr>
          <w:rFonts w:cs="Arial"/>
          <w:szCs w:val="20"/>
        </w:rPr>
        <w:t xml:space="preserve"> of any approximations should </w:t>
      </w:r>
      <w:r>
        <w:rPr>
          <w:rFonts w:cs="Arial"/>
          <w:szCs w:val="20"/>
        </w:rPr>
        <w:t xml:space="preserve">consider </w:t>
      </w:r>
      <w:r w:rsidRPr="00EC498C">
        <w:rPr>
          <w:rFonts w:cs="Arial"/>
          <w:szCs w:val="20"/>
        </w:rPr>
        <w:t>the following aspects</w:t>
      </w:r>
      <w:r w:rsidR="000E788C">
        <w:rPr>
          <w:rFonts w:cs="Arial"/>
          <w:szCs w:val="20"/>
        </w:rPr>
        <w:t>.</w:t>
      </w:r>
    </w:p>
    <w:p w14:paraId="72F0E110" w14:textId="77777777" w:rsidR="00D40729" w:rsidRDefault="00D40729" w:rsidP="00256A89">
      <w:pPr>
        <w:autoSpaceDE w:val="0"/>
        <w:autoSpaceDN w:val="0"/>
        <w:adjustRightInd w:val="0"/>
        <w:spacing w:after="0" w:line="240" w:lineRule="auto"/>
        <w:rPr>
          <w:rFonts w:cs="Arial"/>
          <w:szCs w:val="20"/>
        </w:rPr>
      </w:pPr>
    </w:p>
    <w:p w14:paraId="1DF71A67" w14:textId="2BBC9100" w:rsidR="00D40729" w:rsidRPr="00EC498C" w:rsidRDefault="00D40729" w:rsidP="00EC498C">
      <w:pPr>
        <w:autoSpaceDE w:val="0"/>
        <w:autoSpaceDN w:val="0"/>
        <w:adjustRightInd w:val="0"/>
        <w:spacing w:after="0" w:line="240" w:lineRule="auto"/>
        <w:ind w:firstLine="720"/>
        <w:rPr>
          <w:rFonts w:cs="Arial"/>
          <w:szCs w:val="20"/>
          <w:u w:val="single"/>
        </w:rPr>
      </w:pPr>
      <w:r w:rsidRPr="00EC498C">
        <w:rPr>
          <w:rFonts w:cs="Arial"/>
          <w:szCs w:val="20"/>
          <w:u w:val="single"/>
        </w:rPr>
        <w:t>Changes in market conditions</w:t>
      </w:r>
    </w:p>
    <w:p w14:paraId="1D91A753" w14:textId="77777777" w:rsidR="00A66463" w:rsidRDefault="00A66463" w:rsidP="00256A89">
      <w:pPr>
        <w:autoSpaceDE w:val="0"/>
        <w:autoSpaceDN w:val="0"/>
        <w:adjustRightInd w:val="0"/>
        <w:spacing w:after="0" w:line="240" w:lineRule="auto"/>
        <w:rPr>
          <w:rFonts w:cs="Arial"/>
          <w:szCs w:val="20"/>
        </w:rPr>
      </w:pPr>
    </w:p>
    <w:p w14:paraId="01EB30DF" w14:textId="034600DF" w:rsidR="00A66463" w:rsidRPr="00F16740" w:rsidRDefault="00A66463" w:rsidP="00EC498C">
      <w:pPr>
        <w:autoSpaceDE w:val="0"/>
        <w:autoSpaceDN w:val="0"/>
        <w:adjustRightInd w:val="0"/>
        <w:spacing w:line="240" w:lineRule="auto"/>
        <w:ind w:left="720"/>
        <w:rPr>
          <w:rFonts w:cs="Arial"/>
          <w:szCs w:val="20"/>
        </w:rPr>
      </w:pPr>
      <w:r w:rsidRPr="00F16740">
        <w:rPr>
          <w:rFonts w:cs="Arial"/>
          <w:szCs w:val="20"/>
        </w:rPr>
        <w:t>The reasonable</w:t>
      </w:r>
      <w:r w:rsidR="00622067">
        <w:rPr>
          <w:rFonts w:cs="Arial"/>
          <w:szCs w:val="20"/>
        </w:rPr>
        <w:t>ness</w:t>
      </w:r>
      <w:r w:rsidRPr="00F16740">
        <w:rPr>
          <w:rFonts w:cs="Arial"/>
          <w:szCs w:val="20"/>
        </w:rPr>
        <w:t xml:space="preserve"> of any approximations to changes in market conditions such as movements in interest rates, equity markets, credit spreads etc.</w:t>
      </w:r>
    </w:p>
    <w:p w14:paraId="564C556D" w14:textId="77777777" w:rsidR="00A66463" w:rsidRDefault="00A66463" w:rsidP="00EC498C">
      <w:pPr>
        <w:pStyle w:val="ListParagraph"/>
        <w:autoSpaceDE w:val="0"/>
        <w:autoSpaceDN w:val="0"/>
        <w:adjustRightInd w:val="0"/>
        <w:spacing w:line="240" w:lineRule="auto"/>
        <w:ind w:left="1080"/>
        <w:rPr>
          <w:rFonts w:cs="Arial"/>
          <w:szCs w:val="20"/>
        </w:rPr>
      </w:pPr>
    </w:p>
    <w:p w14:paraId="1060035D" w14:textId="29EF200E" w:rsidR="00D40729" w:rsidRPr="00EC498C" w:rsidRDefault="00D40729" w:rsidP="00EC498C">
      <w:pPr>
        <w:autoSpaceDE w:val="0"/>
        <w:autoSpaceDN w:val="0"/>
        <w:adjustRightInd w:val="0"/>
        <w:spacing w:line="240" w:lineRule="auto"/>
        <w:ind w:firstLine="720"/>
        <w:rPr>
          <w:rFonts w:cs="Arial"/>
          <w:szCs w:val="20"/>
          <w:u w:val="single"/>
        </w:rPr>
      </w:pPr>
      <w:r w:rsidRPr="00EC498C">
        <w:rPr>
          <w:rFonts w:cs="Arial"/>
          <w:szCs w:val="20"/>
          <w:u w:val="single"/>
        </w:rPr>
        <w:t>Impact of ALM</w:t>
      </w:r>
      <w:r>
        <w:rPr>
          <w:rFonts w:cs="Arial"/>
          <w:szCs w:val="20"/>
          <w:u w:val="single"/>
        </w:rPr>
        <w:t xml:space="preserve"> activity</w:t>
      </w:r>
    </w:p>
    <w:p w14:paraId="4CB203CD" w14:textId="54356843" w:rsidR="00D40729" w:rsidRDefault="00D40729" w:rsidP="00EC498C">
      <w:pPr>
        <w:autoSpaceDE w:val="0"/>
        <w:autoSpaceDN w:val="0"/>
        <w:adjustRightInd w:val="0"/>
        <w:spacing w:line="240" w:lineRule="auto"/>
        <w:ind w:left="720"/>
        <w:rPr>
          <w:rFonts w:cs="Arial"/>
          <w:szCs w:val="20"/>
        </w:rPr>
      </w:pPr>
      <w:r>
        <w:rPr>
          <w:rFonts w:cs="Arial"/>
          <w:szCs w:val="20"/>
        </w:rPr>
        <w:t xml:space="preserve">The </w:t>
      </w:r>
      <w:r w:rsidR="000E788C">
        <w:rPr>
          <w:rFonts w:cs="Arial"/>
          <w:szCs w:val="20"/>
        </w:rPr>
        <w:t>published simplifications</w:t>
      </w:r>
      <w:r w:rsidR="000E788C" w:rsidDel="000E788C">
        <w:rPr>
          <w:rFonts w:cs="Arial"/>
          <w:szCs w:val="20"/>
        </w:rPr>
        <w:t xml:space="preserve"> </w:t>
      </w:r>
      <w:r>
        <w:rPr>
          <w:rFonts w:cs="Arial"/>
          <w:szCs w:val="20"/>
        </w:rPr>
        <w:t>should consider whether to take into account the impact of ALM activity.</w:t>
      </w:r>
      <w:r w:rsidR="00A66463" w:rsidRPr="00F16740">
        <w:rPr>
          <w:rFonts w:cs="Arial"/>
          <w:szCs w:val="20"/>
        </w:rPr>
        <w:t xml:space="preserve"> For example</w:t>
      </w:r>
      <w:r w:rsidR="004E4CA8">
        <w:rPr>
          <w:rFonts w:cs="Arial"/>
          <w:szCs w:val="20"/>
        </w:rPr>
        <w:t>:</w:t>
      </w:r>
    </w:p>
    <w:p w14:paraId="73C1ABFC" w14:textId="41CF1B74" w:rsidR="00A66463" w:rsidRDefault="00D40729" w:rsidP="00EC498C">
      <w:pPr>
        <w:pStyle w:val="ListParagraph"/>
        <w:numPr>
          <w:ilvl w:val="0"/>
          <w:numId w:val="33"/>
        </w:numPr>
        <w:autoSpaceDE w:val="0"/>
        <w:autoSpaceDN w:val="0"/>
        <w:adjustRightInd w:val="0"/>
        <w:spacing w:line="240" w:lineRule="auto"/>
        <w:rPr>
          <w:rFonts w:cs="Arial"/>
          <w:szCs w:val="20"/>
        </w:rPr>
      </w:pPr>
      <w:r>
        <w:rPr>
          <w:rFonts w:cs="Arial"/>
          <w:szCs w:val="20"/>
        </w:rPr>
        <w:t>W</w:t>
      </w:r>
      <w:r w:rsidR="00A66463" w:rsidRPr="00F16740">
        <w:rPr>
          <w:rFonts w:cs="Arial"/>
          <w:szCs w:val="20"/>
        </w:rPr>
        <w:t>here</w:t>
      </w:r>
      <w:r w:rsidRPr="00F16740">
        <w:rPr>
          <w:rFonts w:cs="Arial"/>
          <w:szCs w:val="20"/>
        </w:rPr>
        <w:t xml:space="preserve"> a firm</w:t>
      </w:r>
      <w:r w:rsidR="00A66463" w:rsidRPr="00F16740">
        <w:rPr>
          <w:rFonts w:cs="Arial"/>
          <w:szCs w:val="20"/>
        </w:rPr>
        <w:t xml:space="preserve"> choose</w:t>
      </w:r>
      <w:r w:rsidR="00231E3C">
        <w:rPr>
          <w:rFonts w:cs="Arial"/>
          <w:szCs w:val="20"/>
        </w:rPr>
        <w:t>s</w:t>
      </w:r>
      <w:r w:rsidR="00A66463" w:rsidRPr="00F16740">
        <w:rPr>
          <w:rFonts w:cs="Arial"/>
          <w:szCs w:val="20"/>
        </w:rPr>
        <w:t xml:space="preserve"> to </w:t>
      </w:r>
      <w:r w:rsidRPr="00F16740">
        <w:rPr>
          <w:rFonts w:cs="Arial"/>
          <w:szCs w:val="20"/>
        </w:rPr>
        <w:t>optimise the portfolio spread on assets backing annuity liabilities</w:t>
      </w:r>
      <w:r w:rsidR="00962FA1">
        <w:rPr>
          <w:rFonts w:cs="Arial"/>
          <w:szCs w:val="20"/>
        </w:rPr>
        <w:t xml:space="preserve">, for example </w:t>
      </w:r>
      <w:r w:rsidRPr="00F16740">
        <w:rPr>
          <w:rFonts w:cs="Arial"/>
          <w:szCs w:val="20"/>
        </w:rPr>
        <w:t xml:space="preserve">through </w:t>
      </w:r>
      <w:r w:rsidR="00A66463" w:rsidRPr="00316C1E">
        <w:rPr>
          <w:rFonts w:cs="Arial"/>
          <w:szCs w:val="20"/>
        </w:rPr>
        <w:t>invest</w:t>
      </w:r>
      <w:r w:rsidRPr="00316C1E">
        <w:rPr>
          <w:rFonts w:cs="Arial"/>
          <w:szCs w:val="20"/>
        </w:rPr>
        <w:t>ing</w:t>
      </w:r>
      <w:r w:rsidR="00A66463" w:rsidRPr="00316C1E">
        <w:rPr>
          <w:rFonts w:cs="Arial"/>
          <w:szCs w:val="20"/>
        </w:rPr>
        <w:t xml:space="preserve"> in </w:t>
      </w:r>
      <w:r w:rsidRPr="00316C1E">
        <w:rPr>
          <w:rFonts w:cs="Arial"/>
          <w:szCs w:val="20"/>
        </w:rPr>
        <w:t xml:space="preserve">more </w:t>
      </w:r>
      <w:r w:rsidR="00A66463" w:rsidRPr="00A532E7">
        <w:rPr>
          <w:rFonts w:cs="Arial"/>
          <w:szCs w:val="20"/>
        </w:rPr>
        <w:t xml:space="preserve">illiquid </w:t>
      </w:r>
      <w:r w:rsidRPr="00A532E7">
        <w:rPr>
          <w:rFonts w:cs="Arial"/>
          <w:szCs w:val="20"/>
        </w:rPr>
        <w:t>assets</w:t>
      </w:r>
      <w:r w:rsidR="00231E3C">
        <w:rPr>
          <w:rFonts w:cs="Arial"/>
          <w:szCs w:val="20"/>
        </w:rPr>
        <w:t>, the published</w:t>
      </w:r>
      <w:r w:rsidR="00962FA1">
        <w:rPr>
          <w:rFonts w:cs="Arial"/>
          <w:szCs w:val="20"/>
        </w:rPr>
        <w:t xml:space="preserve"> simplification</w:t>
      </w:r>
      <w:r w:rsidR="00231E3C">
        <w:rPr>
          <w:rFonts w:cs="Arial"/>
          <w:szCs w:val="20"/>
        </w:rPr>
        <w:t xml:space="preserve"> should consider whether </w:t>
      </w:r>
      <w:r w:rsidR="00962FA1">
        <w:rPr>
          <w:rFonts w:cs="Arial"/>
          <w:szCs w:val="20"/>
        </w:rPr>
        <w:t>to</w:t>
      </w:r>
      <w:r w:rsidR="00231E3C">
        <w:rPr>
          <w:rFonts w:cs="Arial"/>
          <w:szCs w:val="20"/>
        </w:rPr>
        <w:t xml:space="preserve"> take into account potentially differing outcomes under Solvency II, Solvency I Pillar I and Solvency II Pillar II, or not.</w:t>
      </w:r>
    </w:p>
    <w:p w14:paraId="64A08A64" w14:textId="77777777" w:rsidR="00D40729" w:rsidRDefault="00D40729" w:rsidP="00EC498C">
      <w:pPr>
        <w:pStyle w:val="ListParagraph"/>
        <w:autoSpaceDE w:val="0"/>
        <w:autoSpaceDN w:val="0"/>
        <w:adjustRightInd w:val="0"/>
        <w:spacing w:line="240" w:lineRule="auto"/>
        <w:ind w:left="1080"/>
        <w:rPr>
          <w:rFonts w:cs="Arial"/>
          <w:szCs w:val="20"/>
        </w:rPr>
      </w:pPr>
    </w:p>
    <w:p w14:paraId="35D7CA0B" w14:textId="69E5D9DB" w:rsidR="00D40729" w:rsidRDefault="00D40729" w:rsidP="00EC498C">
      <w:pPr>
        <w:pStyle w:val="ListParagraph"/>
        <w:numPr>
          <w:ilvl w:val="0"/>
          <w:numId w:val="33"/>
        </w:numPr>
        <w:autoSpaceDE w:val="0"/>
        <w:autoSpaceDN w:val="0"/>
        <w:adjustRightInd w:val="0"/>
        <w:spacing w:line="240" w:lineRule="auto"/>
        <w:rPr>
          <w:rFonts w:cs="Arial"/>
          <w:szCs w:val="20"/>
        </w:rPr>
      </w:pPr>
      <w:r>
        <w:rPr>
          <w:rFonts w:cs="Arial"/>
          <w:szCs w:val="20"/>
        </w:rPr>
        <w:t>Where a firm implements a hedging programme to hedge exposure to market risk</w:t>
      </w:r>
      <w:r w:rsidR="00962FA1">
        <w:rPr>
          <w:rFonts w:cs="Arial"/>
          <w:szCs w:val="20"/>
        </w:rPr>
        <w:t>, for example</w:t>
      </w:r>
      <w:r>
        <w:rPr>
          <w:rFonts w:cs="Arial"/>
          <w:szCs w:val="20"/>
        </w:rPr>
        <w:t xml:space="preserve"> using forward contracts or put options to hedge equity risk, </w:t>
      </w:r>
      <w:r w:rsidR="00231E3C">
        <w:rPr>
          <w:rFonts w:cs="Arial"/>
          <w:szCs w:val="20"/>
        </w:rPr>
        <w:t xml:space="preserve">the published simplifications </w:t>
      </w:r>
      <w:r>
        <w:rPr>
          <w:rFonts w:cs="Arial"/>
          <w:szCs w:val="20"/>
        </w:rPr>
        <w:t xml:space="preserve">should </w:t>
      </w:r>
      <w:r w:rsidR="00231E3C">
        <w:rPr>
          <w:rFonts w:cs="Arial"/>
          <w:szCs w:val="20"/>
        </w:rPr>
        <w:t xml:space="preserve">consider whether </w:t>
      </w:r>
      <w:r w:rsidR="00962FA1">
        <w:rPr>
          <w:rFonts w:cs="Arial"/>
          <w:szCs w:val="20"/>
        </w:rPr>
        <w:t>this is allowed for</w:t>
      </w:r>
      <w:r>
        <w:rPr>
          <w:rFonts w:cs="Arial"/>
          <w:szCs w:val="20"/>
        </w:rPr>
        <w:t>, and if so how</w:t>
      </w:r>
      <w:r w:rsidR="00231E3C">
        <w:rPr>
          <w:rFonts w:cs="Arial"/>
          <w:szCs w:val="20"/>
        </w:rPr>
        <w:t>.</w:t>
      </w:r>
    </w:p>
    <w:p w14:paraId="64D3B750" w14:textId="77777777" w:rsidR="00D40729" w:rsidRPr="00F16740" w:rsidRDefault="00D40729" w:rsidP="00EC498C">
      <w:pPr>
        <w:pStyle w:val="ListParagraph"/>
        <w:rPr>
          <w:rFonts w:cs="Arial"/>
          <w:szCs w:val="20"/>
        </w:rPr>
      </w:pPr>
    </w:p>
    <w:p w14:paraId="1726D5A9" w14:textId="31E3A3FD" w:rsidR="00D40729" w:rsidRPr="00F16740" w:rsidRDefault="00D40729" w:rsidP="00EC498C">
      <w:pPr>
        <w:pStyle w:val="ListParagraph"/>
        <w:numPr>
          <w:ilvl w:val="0"/>
          <w:numId w:val="33"/>
        </w:numPr>
        <w:autoSpaceDE w:val="0"/>
        <w:autoSpaceDN w:val="0"/>
        <w:adjustRightInd w:val="0"/>
        <w:spacing w:line="240" w:lineRule="auto"/>
        <w:rPr>
          <w:rFonts w:cs="Arial"/>
          <w:szCs w:val="20"/>
        </w:rPr>
      </w:pPr>
      <w:r>
        <w:rPr>
          <w:rFonts w:cs="Arial"/>
          <w:szCs w:val="20"/>
        </w:rPr>
        <w:lastRenderedPageBreak/>
        <w:t>If the firm has cho</w:t>
      </w:r>
      <w:r w:rsidR="00622067">
        <w:rPr>
          <w:rFonts w:cs="Arial"/>
          <w:szCs w:val="20"/>
        </w:rPr>
        <w:t>s</w:t>
      </w:r>
      <w:r>
        <w:rPr>
          <w:rFonts w:cs="Arial"/>
          <w:szCs w:val="20"/>
        </w:rPr>
        <w:t>e</w:t>
      </w:r>
      <w:r w:rsidR="00622067">
        <w:rPr>
          <w:rFonts w:cs="Arial"/>
          <w:szCs w:val="20"/>
        </w:rPr>
        <w:t>n</w:t>
      </w:r>
      <w:r>
        <w:rPr>
          <w:rFonts w:cs="Arial"/>
          <w:szCs w:val="20"/>
        </w:rPr>
        <w:t xml:space="preserve"> to hedge the risk margin interest rate exposure not offset by a TMTP, then it would expect </w:t>
      </w:r>
      <w:r w:rsidR="00962FA1">
        <w:rPr>
          <w:rFonts w:cs="Arial"/>
          <w:szCs w:val="20"/>
        </w:rPr>
        <w:t xml:space="preserve">the </w:t>
      </w:r>
      <w:r w:rsidR="000E788C">
        <w:rPr>
          <w:rFonts w:cs="Arial"/>
          <w:szCs w:val="20"/>
        </w:rPr>
        <w:t>published simplifications</w:t>
      </w:r>
      <w:r w:rsidR="000E788C" w:rsidDel="000E788C">
        <w:rPr>
          <w:rFonts w:cs="Arial"/>
          <w:szCs w:val="20"/>
        </w:rPr>
        <w:t xml:space="preserve"> </w:t>
      </w:r>
      <w:r>
        <w:rPr>
          <w:rFonts w:cs="Arial"/>
          <w:szCs w:val="20"/>
        </w:rPr>
        <w:t xml:space="preserve">to </w:t>
      </w:r>
      <w:r w:rsidR="000E788C">
        <w:rPr>
          <w:rFonts w:cs="Arial"/>
          <w:szCs w:val="20"/>
        </w:rPr>
        <w:t xml:space="preserve">reasonably </w:t>
      </w:r>
      <w:r>
        <w:rPr>
          <w:rFonts w:cs="Arial"/>
          <w:szCs w:val="20"/>
        </w:rPr>
        <w:t>hedge the risk margin covered by the TMTP</w:t>
      </w:r>
      <w:r w:rsidR="003F7DE2">
        <w:rPr>
          <w:rFonts w:cs="Arial"/>
          <w:szCs w:val="20"/>
        </w:rPr>
        <w:t>,</w:t>
      </w:r>
      <w:r w:rsidR="000E788C">
        <w:rPr>
          <w:rFonts w:cs="Arial"/>
          <w:szCs w:val="20"/>
        </w:rPr>
        <w:t xml:space="preserve"> when compared to a less approximate recalculation method.  In particular it should not </w:t>
      </w:r>
      <w:r>
        <w:rPr>
          <w:rFonts w:cs="Arial"/>
          <w:szCs w:val="20"/>
        </w:rPr>
        <w:t>introduc</w:t>
      </w:r>
      <w:r w:rsidR="000E788C">
        <w:rPr>
          <w:rFonts w:cs="Arial"/>
          <w:szCs w:val="20"/>
        </w:rPr>
        <w:t>e</w:t>
      </w:r>
      <w:r>
        <w:rPr>
          <w:rFonts w:cs="Arial"/>
          <w:szCs w:val="20"/>
        </w:rPr>
        <w:t xml:space="preserve"> any material second order mismatches.</w:t>
      </w:r>
    </w:p>
    <w:p w14:paraId="69E16743" w14:textId="77777777" w:rsidR="006517BD" w:rsidRDefault="006517BD" w:rsidP="00EC498C">
      <w:pPr>
        <w:pStyle w:val="ListParagraph"/>
        <w:rPr>
          <w:rFonts w:cs="Arial"/>
          <w:szCs w:val="20"/>
          <w:u w:val="single"/>
        </w:rPr>
      </w:pPr>
    </w:p>
    <w:p w14:paraId="6B358224" w14:textId="5951ACAB" w:rsidR="00D40729" w:rsidRDefault="00D40729" w:rsidP="00EC498C">
      <w:pPr>
        <w:pStyle w:val="ListParagraph"/>
        <w:rPr>
          <w:rFonts w:cs="Arial"/>
          <w:szCs w:val="20"/>
          <w:u w:val="single"/>
        </w:rPr>
      </w:pPr>
      <w:r w:rsidRPr="00EC498C">
        <w:rPr>
          <w:rFonts w:cs="Arial"/>
          <w:szCs w:val="20"/>
          <w:u w:val="single"/>
        </w:rPr>
        <w:t>Impact of management actions or strategic changes</w:t>
      </w:r>
    </w:p>
    <w:p w14:paraId="322A2176" w14:textId="77777777" w:rsidR="000E788C" w:rsidRDefault="000E788C" w:rsidP="00EC498C">
      <w:pPr>
        <w:pStyle w:val="ListParagraph"/>
        <w:rPr>
          <w:rFonts w:cs="Arial"/>
          <w:szCs w:val="20"/>
        </w:rPr>
      </w:pPr>
    </w:p>
    <w:p w14:paraId="2D2094B2" w14:textId="23B8CF5A" w:rsidR="00D40729" w:rsidRDefault="000E788C" w:rsidP="00EC498C">
      <w:pPr>
        <w:pStyle w:val="ListParagraph"/>
        <w:rPr>
          <w:rFonts w:cs="Arial"/>
          <w:szCs w:val="20"/>
          <w:u w:val="single"/>
        </w:rPr>
      </w:pPr>
      <w:r>
        <w:rPr>
          <w:rFonts w:cs="Arial"/>
          <w:szCs w:val="20"/>
        </w:rPr>
        <w:t>The published simplifications</w:t>
      </w:r>
      <w:r w:rsidDel="000E788C">
        <w:rPr>
          <w:rFonts w:cs="Arial"/>
          <w:szCs w:val="20"/>
        </w:rPr>
        <w:t xml:space="preserve"> </w:t>
      </w:r>
      <w:r>
        <w:rPr>
          <w:rFonts w:cs="Arial"/>
          <w:szCs w:val="20"/>
        </w:rPr>
        <w:t>should consider whether, or not, to take into the impact of management actions or strategic changes</w:t>
      </w:r>
      <w:r w:rsidR="007E0E02">
        <w:rPr>
          <w:rFonts w:cs="Arial"/>
          <w:szCs w:val="20"/>
        </w:rPr>
        <w:t>.</w:t>
      </w:r>
    </w:p>
    <w:p w14:paraId="17EF71AF" w14:textId="77777777" w:rsidR="000E788C" w:rsidRDefault="000E788C" w:rsidP="00EC498C">
      <w:pPr>
        <w:pStyle w:val="ListParagraph"/>
        <w:rPr>
          <w:rFonts w:cs="Arial"/>
          <w:szCs w:val="20"/>
        </w:rPr>
      </w:pPr>
    </w:p>
    <w:p w14:paraId="205D9D48" w14:textId="0516FD4D" w:rsidR="002C0D3D" w:rsidRPr="00F16740" w:rsidRDefault="00D40729" w:rsidP="00EC498C">
      <w:pPr>
        <w:pStyle w:val="ListParagraph"/>
        <w:rPr>
          <w:rFonts w:cs="Arial"/>
          <w:szCs w:val="20"/>
        </w:rPr>
      </w:pPr>
      <w:r>
        <w:rPr>
          <w:rFonts w:cs="Arial"/>
          <w:szCs w:val="20"/>
        </w:rPr>
        <w:t>The practical experience of working party members is that the impact of management actions or strategic changes to the business are those</w:t>
      </w:r>
      <w:r w:rsidR="00622067">
        <w:rPr>
          <w:rFonts w:cs="Arial"/>
          <w:szCs w:val="20"/>
        </w:rPr>
        <w:t xml:space="preserve"> that</w:t>
      </w:r>
      <w:r>
        <w:rPr>
          <w:rFonts w:cs="Arial"/>
          <w:szCs w:val="20"/>
        </w:rPr>
        <w:t xml:space="preserve"> often have </w:t>
      </w:r>
      <w:r w:rsidR="006517BD">
        <w:rPr>
          <w:rFonts w:cs="Arial"/>
          <w:szCs w:val="20"/>
        </w:rPr>
        <w:t xml:space="preserve">unexpected </w:t>
      </w:r>
      <w:r>
        <w:rPr>
          <w:rFonts w:cs="Arial"/>
          <w:szCs w:val="20"/>
        </w:rPr>
        <w:t>TMTP impacts which are often difficult to foresee in advance.</w:t>
      </w:r>
      <w:r w:rsidR="002C0D3D">
        <w:rPr>
          <w:rFonts w:cs="Arial"/>
          <w:szCs w:val="20"/>
        </w:rPr>
        <w:t xml:space="preserve">  </w:t>
      </w:r>
      <w:r w:rsidR="002C0D3D" w:rsidRPr="00F16740">
        <w:rPr>
          <w:rFonts w:cs="Arial"/>
          <w:szCs w:val="20"/>
        </w:rPr>
        <w:t xml:space="preserve">For example </w:t>
      </w:r>
      <w:r w:rsidR="007C12C7">
        <w:rPr>
          <w:rFonts w:cs="Arial"/>
          <w:szCs w:val="20"/>
        </w:rPr>
        <w:t xml:space="preserve">the adoption </w:t>
      </w:r>
      <w:r w:rsidR="002C0D3D" w:rsidRPr="00F16740">
        <w:rPr>
          <w:rFonts w:cs="Arial"/>
          <w:szCs w:val="20"/>
        </w:rPr>
        <w:t>of</w:t>
      </w:r>
      <w:r w:rsidR="004012D4">
        <w:rPr>
          <w:rFonts w:cs="Arial"/>
          <w:szCs w:val="20"/>
        </w:rPr>
        <w:t xml:space="preserve"> reasonable and generally accepted risk mitigation techniques could result in an offsetting reduction in TMTP.  More specifically a strategy to hedge market risks arising on unit linked business is likely to reduce the Solvency I Pillar II and Solvency II financial resource requirement (FRR), but could increase the Solvency I Pillar I FRR, and for some firms this would reduce the TMTP.</w:t>
      </w:r>
    </w:p>
    <w:p w14:paraId="0CFE6F07" w14:textId="77777777" w:rsidR="00D40729" w:rsidRDefault="00D40729" w:rsidP="00EC498C">
      <w:pPr>
        <w:pStyle w:val="ListParagraph"/>
        <w:rPr>
          <w:rFonts w:cs="Arial"/>
          <w:szCs w:val="20"/>
        </w:rPr>
      </w:pPr>
    </w:p>
    <w:p w14:paraId="60499A7A" w14:textId="65D13364" w:rsidR="002C0D3D" w:rsidRPr="00F16740" w:rsidRDefault="002C0D3D" w:rsidP="00EC498C">
      <w:pPr>
        <w:pStyle w:val="ListParagraph"/>
        <w:rPr>
          <w:rFonts w:cs="Arial"/>
          <w:szCs w:val="20"/>
        </w:rPr>
      </w:pPr>
      <w:r>
        <w:rPr>
          <w:rFonts w:cs="Arial"/>
          <w:szCs w:val="20"/>
        </w:rPr>
        <w:t>Furthermore, and more abstractly, the approach to management actions not likely or permitted to be undertaken under the Solvency I regime should be considered.  For example the shorting of shareholder units was not permitted under Solvency I, but is implemented by a number of firms following the implementation of Solvency II.</w:t>
      </w:r>
    </w:p>
    <w:p w14:paraId="7ECE9A2F" w14:textId="77777777" w:rsidR="00D40729" w:rsidRDefault="00D40729" w:rsidP="00EC498C">
      <w:pPr>
        <w:pStyle w:val="ListParagraph"/>
        <w:rPr>
          <w:rFonts w:cs="Arial"/>
          <w:szCs w:val="20"/>
        </w:rPr>
      </w:pPr>
    </w:p>
    <w:p w14:paraId="3D05C402" w14:textId="77777777" w:rsidR="002C0D3D" w:rsidRDefault="002C0D3D" w:rsidP="00EC498C">
      <w:pPr>
        <w:pStyle w:val="ListParagraph"/>
        <w:rPr>
          <w:rFonts w:cs="Arial"/>
          <w:szCs w:val="20"/>
        </w:rPr>
      </w:pPr>
    </w:p>
    <w:p w14:paraId="2D5A05EC" w14:textId="71A1F47D" w:rsidR="00D40729" w:rsidRDefault="00D40729" w:rsidP="00EC498C">
      <w:pPr>
        <w:pStyle w:val="ListParagraph"/>
        <w:rPr>
          <w:rFonts w:cs="Arial"/>
          <w:szCs w:val="20"/>
          <w:u w:val="single"/>
        </w:rPr>
      </w:pPr>
      <w:r w:rsidRPr="00EC498C">
        <w:rPr>
          <w:rFonts w:cs="Arial"/>
          <w:szCs w:val="20"/>
          <w:u w:val="single"/>
        </w:rPr>
        <w:t>Par</w:t>
      </w:r>
      <w:r w:rsidRPr="00F52AB9">
        <w:rPr>
          <w:rFonts w:cs="Arial"/>
          <w:szCs w:val="20"/>
          <w:u w:val="single"/>
        </w:rPr>
        <w:t>t</w:t>
      </w:r>
      <w:r w:rsidRPr="00EC498C">
        <w:rPr>
          <w:rFonts w:cs="Arial"/>
          <w:b/>
          <w:szCs w:val="20"/>
          <w:u w:val="single"/>
        </w:rPr>
        <w:t xml:space="preserve"> </w:t>
      </w:r>
      <w:r w:rsidRPr="00EC498C">
        <w:rPr>
          <w:rFonts w:cs="Arial"/>
          <w:szCs w:val="20"/>
          <w:u w:val="single"/>
        </w:rPr>
        <w:t>VII Transfers</w:t>
      </w:r>
    </w:p>
    <w:p w14:paraId="446C0EA3" w14:textId="77777777" w:rsidR="002C0D3D" w:rsidRDefault="002C0D3D" w:rsidP="00EC498C">
      <w:pPr>
        <w:pStyle w:val="ListParagraph"/>
        <w:rPr>
          <w:rFonts w:cs="Arial"/>
          <w:szCs w:val="20"/>
          <w:u w:val="single"/>
        </w:rPr>
      </w:pPr>
    </w:p>
    <w:p w14:paraId="600C1598" w14:textId="77777777" w:rsidR="002C0D3D" w:rsidRDefault="002C0D3D" w:rsidP="00EC498C">
      <w:pPr>
        <w:pStyle w:val="ListParagraph"/>
        <w:rPr>
          <w:rFonts w:cs="Arial"/>
          <w:szCs w:val="20"/>
        </w:rPr>
      </w:pPr>
      <w:r>
        <w:rPr>
          <w:rFonts w:cs="Arial"/>
          <w:szCs w:val="20"/>
        </w:rPr>
        <w:t xml:space="preserve">As noted by the PRA, the approach should be allowed to be combined or disaggregated following a Part VII transfer of business from one insurance entity to another.  </w:t>
      </w:r>
    </w:p>
    <w:p w14:paraId="446AA283" w14:textId="77777777" w:rsidR="002C0D3D" w:rsidRDefault="002C0D3D" w:rsidP="00EC498C">
      <w:pPr>
        <w:pStyle w:val="ListParagraph"/>
        <w:rPr>
          <w:rFonts w:cs="Arial"/>
          <w:szCs w:val="20"/>
        </w:rPr>
      </w:pPr>
    </w:p>
    <w:p w14:paraId="05D08D64" w14:textId="1A684AAD" w:rsidR="007C12C7" w:rsidRDefault="002C0D3D" w:rsidP="00EC498C">
      <w:pPr>
        <w:pStyle w:val="ListParagraph"/>
        <w:rPr>
          <w:rFonts w:cs="Arial"/>
          <w:szCs w:val="20"/>
        </w:rPr>
      </w:pPr>
      <w:r>
        <w:rPr>
          <w:rFonts w:cs="Arial"/>
          <w:szCs w:val="20"/>
        </w:rPr>
        <w:t xml:space="preserve">The use of </w:t>
      </w:r>
      <w:r w:rsidR="007E0E02">
        <w:rPr>
          <w:rFonts w:cs="Arial"/>
          <w:szCs w:val="20"/>
        </w:rPr>
        <w:t>a published simplification</w:t>
      </w:r>
      <w:r>
        <w:rPr>
          <w:rFonts w:cs="Arial"/>
          <w:szCs w:val="20"/>
        </w:rPr>
        <w:t xml:space="preserve"> needs to be sufficiently well endorsed so that Part VII transfer independent expert can be confident in the</w:t>
      </w:r>
      <w:r w:rsidR="007E0E02">
        <w:rPr>
          <w:rFonts w:cs="Arial"/>
          <w:szCs w:val="20"/>
        </w:rPr>
        <w:t>ir</w:t>
      </w:r>
      <w:r>
        <w:rPr>
          <w:rFonts w:cs="Arial"/>
          <w:szCs w:val="20"/>
        </w:rPr>
        <w:t xml:space="preserve"> use.  Especially in the scenario where one block of business uses a different TMTP recalculation approach to the other block</w:t>
      </w:r>
      <w:r w:rsidR="00962FA1">
        <w:rPr>
          <w:rFonts w:cs="Arial"/>
          <w:szCs w:val="20"/>
        </w:rPr>
        <w:t>(</w:t>
      </w:r>
      <w:r>
        <w:rPr>
          <w:rFonts w:cs="Arial"/>
          <w:szCs w:val="20"/>
        </w:rPr>
        <w:t>s</w:t>
      </w:r>
      <w:r w:rsidR="00962FA1">
        <w:rPr>
          <w:rFonts w:cs="Arial"/>
          <w:szCs w:val="20"/>
        </w:rPr>
        <w:t>)</w:t>
      </w:r>
      <w:r>
        <w:rPr>
          <w:rFonts w:cs="Arial"/>
          <w:szCs w:val="20"/>
        </w:rPr>
        <w:t xml:space="preserve"> of business and alignment is proposed following the Part VII transfer.</w:t>
      </w:r>
      <w:r w:rsidR="007C12C7">
        <w:rPr>
          <w:rFonts w:cs="Arial"/>
          <w:szCs w:val="20"/>
        </w:rPr>
        <w:t xml:space="preserve">  </w:t>
      </w:r>
    </w:p>
    <w:p w14:paraId="4A5FABC7" w14:textId="77777777" w:rsidR="007C12C7" w:rsidRDefault="007C12C7" w:rsidP="00EC498C">
      <w:pPr>
        <w:pStyle w:val="ListParagraph"/>
        <w:rPr>
          <w:rFonts w:cs="Arial"/>
          <w:szCs w:val="20"/>
        </w:rPr>
      </w:pPr>
    </w:p>
    <w:p w14:paraId="007A67D9" w14:textId="13C40BD0" w:rsidR="002C0D3D" w:rsidRDefault="007C12C7" w:rsidP="00EC498C">
      <w:pPr>
        <w:pStyle w:val="ListParagraph"/>
        <w:rPr>
          <w:rFonts w:cs="Arial"/>
          <w:szCs w:val="20"/>
        </w:rPr>
      </w:pPr>
      <w:r>
        <w:rPr>
          <w:rFonts w:cs="Arial"/>
          <w:szCs w:val="20"/>
        </w:rPr>
        <w:t xml:space="preserve">In addition the </w:t>
      </w:r>
      <w:r w:rsidR="007E0E02">
        <w:rPr>
          <w:rFonts w:cs="Arial"/>
          <w:szCs w:val="20"/>
        </w:rPr>
        <w:t xml:space="preserve">published simplifications </w:t>
      </w:r>
      <w:r>
        <w:rPr>
          <w:rFonts w:cs="Arial"/>
          <w:szCs w:val="20"/>
        </w:rPr>
        <w:t>would need to apply in the situation where the two blocks of business in scope of the Part VII have TMTP on difference bases.  For example the TMTP for one block of business may be determined on the unrestricted basis, and the TMTP for the other block of business may be determined by reference to being restricted by the Solvency I Pillar I Financial Resource Requirement.</w:t>
      </w:r>
    </w:p>
    <w:p w14:paraId="1EA7EFB0" w14:textId="77777777" w:rsidR="002C0D3D" w:rsidRDefault="002C0D3D" w:rsidP="00EC498C">
      <w:pPr>
        <w:pStyle w:val="ListParagraph"/>
        <w:rPr>
          <w:rFonts w:cs="Arial"/>
          <w:szCs w:val="20"/>
          <w:u w:val="single"/>
        </w:rPr>
      </w:pPr>
    </w:p>
    <w:p w14:paraId="213D58C5" w14:textId="77777777" w:rsidR="002C0D3D" w:rsidRDefault="002C0D3D" w:rsidP="00EC498C">
      <w:pPr>
        <w:pStyle w:val="ListParagraph"/>
        <w:rPr>
          <w:rFonts w:cs="Arial"/>
          <w:szCs w:val="20"/>
          <w:u w:val="single"/>
        </w:rPr>
      </w:pPr>
    </w:p>
    <w:p w14:paraId="4E1B0A5F" w14:textId="48512A0D" w:rsidR="002C0D3D" w:rsidRDefault="002C0D3D" w:rsidP="00EC498C">
      <w:pPr>
        <w:pStyle w:val="ListParagraph"/>
        <w:rPr>
          <w:rFonts w:cs="Arial"/>
          <w:szCs w:val="20"/>
          <w:u w:val="single"/>
        </w:rPr>
      </w:pPr>
      <w:r w:rsidRPr="00EC498C">
        <w:rPr>
          <w:rFonts w:cs="Arial"/>
          <w:szCs w:val="20"/>
          <w:u w:val="single"/>
        </w:rPr>
        <w:t xml:space="preserve">Changes in </w:t>
      </w:r>
      <w:r>
        <w:rPr>
          <w:rFonts w:cs="Arial"/>
          <w:szCs w:val="20"/>
          <w:u w:val="single"/>
        </w:rPr>
        <w:t xml:space="preserve">assumptions, </w:t>
      </w:r>
      <w:r w:rsidRPr="00EC498C">
        <w:rPr>
          <w:rFonts w:cs="Arial"/>
          <w:szCs w:val="20"/>
          <w:u w:val="single"/>
        </w:rPr>
        <w:t>methodology or calibrations</w:t>
      </w:r>
    </w:p>
    <w:p w14:paraId="2BA2F76C" w14:textId="77777777" w:rsidR="002C0D3D" w:rsidRDefault="002C0D3D" w:rsidP="00EC498C">
      <w:pPr>
        <w:pStyle w:val="ListParagraph"/>
        <w:rPr>
          <w:rFonts w:cs="Arial"/>
          <w:szCs w:val="20"/>
          <w:u w:val="single"/>
        </w:rPr>
      </w:pPr>
    </w:p>
    <w:p w14:paraId="35E33C80" w14:textId="6305E0F5" w:rsidR="00256A89" w:rsidRDefault="002C0D3D" w:rsidP="00EC498C">
      <w:pPr>
        <w:autoSpaceDE w:val="0"/>
        <w:autoSpaceDN w:val="0"/>
        <w:adjustRightInd w:val="0"/>
        <w:spacing w:after="0" w:line="240" w:lineRule="auto"/>
        <w:ind w:left="720"/>
        <w:rPr>
          <w:rFonts w:cs="Arial"/>
          <w:szCs w:val="20"/>
        </w:rPr>
      </w:pPr>
      <w:r>
        <w:rPr>
          <w:rFonts w:cs="Arial"/>
          <w:szCs w:val="20"/>
        </w:rPr>
        <w:t xml:space="preserve">The </w:t>
      </w:r>
      <w:r w:rsidR="007E0E02">
        <w:rPr>
          <w:rFonts w:cs="Arial"/>
          <w:szCs w:val="20"/>
        </w:rPr>
        <w:t xml:space="preserve">published simplifications </w:t>
      </w:r>
      <w:r>
        <w:rPr>
          <w:rFonts w:cs="Arial"/>
          <w:szCs w:val="20"/>
        </w:rPr>
        <w:t xml:space="preserve">should consider whether </w:t>
      </w:r>
      <w:r w:rsidR="004012D4">
        <w:rPr>
          <w:rFonts w:cs="Arial"/>
          <w:szCs w:val="20"/>
        </w:rPr>
        <w:t xml:space="preserve">or not </w:t>
      </w:r>
      <w:r>
        <w:rPr>
          <w:rFonts w:cs="Arial"/>
          <w:szCs w:val="20"/>
        </w:rPr>
        <w:t xml:space="preserve">to take into account the impact </w:t>
      </w:r>
      <w:r w:rsidR="004012D4">
        <w:rPr>
          <w:rFonts w:cs="Arial"/>
          <w:szCs w:val="20"/>
        </w:rPr>
        <w:t xml:space="preserve">of </w:t>
      </w:r>
      <w:r>
        <w:rPr>
          <w:rFonts w:cs="Arial"/>
          <w:szCs w:val="20"/>
        </w:rPr>
        <w:t>changes in assumptions and methodology including internal model calibration changes.  For example</w:t>
      </w:r>
      <w:r w:rsidR="004012D4">
        <w:rPr>
          <w:rFonts w:cs="Arial"/>
          <w:szCs w:val="20"/>
        </w:rPr>
        <w:t>,</w:t>
      </w:r>
      <w:r>
        <w:rPr>
          <w:rFonts w:cs="Arial"/>
          <w:szCs w:val="20"/>
        </w:rPr>
        <w:t xml:space="preserve"> the impact of changes in best estimate assumptions should be considered and allowed for consistently across all bases, including allowance for Solvency I Pillar I prudence.</w:t>
      </w:r>
    </w:p>
    <w:p w14:paraId="7CC4F79C" w14:textId="77777777" w:rsidR="007C12C7" w:rsidRDefault="007C12C7" w:rsidP="00EC498C">
      <w:pPr>
        <w:autoSpaceDE w:val="0"/>
        <w:autoSpaceDN w:val="0"/>
        <w:adjustRightInd w:val="0"/>
        <w:spacing w:after="0" w:line="240" w:lineRule="auto"/>
        <w:ind w:left="720"/>
        <w:rPr>
          <w:rFonts w:cs="Arial"/>
          <w:szCs w:val="20"/>
        </w:rPr>
      </w:pPr>
    </w:p>
    <w:p w14:paraId="288FADFC" w14:textId="4FA072CA" w:rsidR="007C12C7" w:rsidRDefault="007C12C7" w:rsidP="00EC498C">
      <w:pPr>
        <w:autoSpaceDE w:val="0"/>
        <w:autoSpaceDN w:val="0"/>
        <w:adjustRightInd w:val="0"/>
        <w:spacing w:after="0" w:line="240" w:lineRule="auto"/>
        <w:ind w:left="720"/>
        <w:rPr>
          <w:rFonts w:cs="Arial"/>
          <w:szCs w:val="20"/>
        </w:rPr>
      </w:pPr>
      <w:r>
        <w:rPr>
          <w:rFonts w:cs="Arial"/>
          <w:szCs w:val="20"/>
        </w:rPr>
        <w:t>The working party consider this most relevant to the Solvency I Pillar I Financial Resource Requirement and the Solvency I Pillar II capital requirements given the requirement for best estimate assumption</w:t>
      </w:r>
      <w:r w:rsidR="006517BD">
        <w:rPr>
          <w:rFonts w:cs="Arial"/>
          <w:szCs w:val="20"/>
        </w:rPr>
        <w:t>s</w:t>
      </w:r>
      <w:r>
        <w:rPr>
          <w:rFonts w:cs="Arial"/>
          <w:szCs w:val="20"/>
        </w:rPr>
        <w:t xml:space="preserve"> for Solvency I Pillar II and Solvency II to be consistent, though not necessarily equalised.</w:t>
      </w:r>
    </w:p>
    <w:p w14:paraId="557BF6A7" w14:textId="77777777" w:rsidR="002C0D3D" w:rsidRDefault="002C0D3D" w:rsidP="00EC498C">
      <w:pPr>
        <w:autoSpaceDE w:val="0"/>
        <w:autoSpaceDN w:val="0"/>
        <w:adjustRightInd w:val="0"/>
        <w:spacing w:after="0" w:line="240" w:lineRule="auto"/>
        <w:ind w:left="720"/>
        <w:rPr>
          <w:rFonts w:cs="Arial"/>
          <w:szCs w:val="20"/>
        </w:rPr>
      </w:pPr>
    </w:p>
    <w:p w14:paraId="6994BA60" w14:textId="5F54768D" w:rsidR="00256A89" w:rsidRDefault="00256A89" w:rsidP="00EC498C">
      <w:pPr>
        <w:pStyle w:val="ListParagraph"/>
        <w:numPr>
          <w:ilvl w:val="1"/>
          <w:numId w:val="7"/>
        </w:numPr>
        <w:jc w:val="both"/>
        <w:rPr>
          <w:rFonts w:cs="Arial"/>
          <w:szCs w:val="20"/>
        </w:rPr>
      </w:pPr>
      <w:r>
        <w:rPr>
          <w:rFonts w:cs="Arial"/>
          <w:szCs w:val="20"/>
        </w:rPr>
        <w:t>S</w:t>
      </w:r>
      <w:r w:rsidRPr="00EC498C">
        <w:rPr>
          <w:rFonts w:cs="Arial"/>
          <w:szCs w:val="20"/>
        </w:rPr>
        <w:t>ingle methodology for simp</w:t>
      </w:r>
      <w:r w:rsidRPr="00F16740">
        <w:rPr>
          <w:rFonts w:cs="Arial"/>
          <w:szCs w:val="20"/>
        </w:rPr>
        <w:t xml:space="preserve">lification </w:t>
      </w:r>
    </w:p>
    <w:p w14:paraId="2D299865" w14:textId="77777777" w:rsidR="00256A89" w:rsidRDefault="00256A89" w:rsidP="00EC498C">
      <w:pPr>
        <w:pStyle w:val="ListParagraph"/>
        <w:ind w:left="360" w:firstLine="360"/>
        <w:jc w:val="both"/>
        <w:rPr>
          <w:rFonts w:cs="Arial"/>
          <w:szCs w:val="20"/>
        </w:rPr>
      </w:pPr>
    </w:p>
    <w:p w14:paraId="70ED72DA" w14:textId="4860304B" w:rsidR="00256A89" w:rsidRPr="00256A89" w:rsidRDefault="00256A89" w:rsidP="00EC498C">
      <w:pPr>
        <w:pStyle w:val="ListParagraph"/>
        <w:ind w:left="360" w:firstLine="360"/>
        <w:jc w:val="both"/>
        <w:rPr>
          <w:rFonts w:cs="Arial"/>
          <w:szCs w:val="20"/>
        </w:rPr>
      </w:pPr>
      <w:r w:rsidRPr="00256A89">
        <w:rPr>
          <w:rFonts w:cs="Arial"/>
          <w:szCs w:val="20"/>
        </w:rPr>
        <w:t xml:space="preserve">This principle aligns to </w:t>
      </w:r>
      <w:r>
        <w:rPr>
          <w:rFonts w:cs="Arial"/>
          <w:szCs w:val="20"/>
        </w:rPr>
        <w:t>the third</w:t>
      </w:r>
      <w:r w:rsidRPr="00256A89">
        <w:rPr>
          <w:rFonts w:cs="Arial"/>
          <w:szCs w:val="20"/>
        </w:rPr>
        <w:t xml:space="preserve"> principle in the PRA TMTP simplification project note.</w:t>
      </w:r>
    </w:p>
    <w:p w14:paraId="1761BB81" w14:textId="77777777" w:rsidR="00796188" w:rsidRDefault="00796188" w:rsidP="00796188">
      <w:pPr>
        <w:autoSpaceDE w:val="0"/>
        <w:autoSpaceDN w:val="0"/>
        <w:adjustRightInd w:val="0"/>
        <w:spacing w:after="0" w:line="240" w:lineRule="auto"/>
        <w:ind w:left="720"/>
        <w:rPr>
          <w:rFonts w:cs="Arial"/>
          <w:szCs w:val="20"/>
        </w:rPr>
      </w:pPr>
    </w:p>
    <w:p w14:paraId="1884EF7E" w14:textId="52264EE8" w:rsidR="00796188" w:rsidRDefault="00796188" w:rsidP="00F16740">
      <w:pPr>
        <w:autoSpaceDE w:val="0"/>
        <w:autoSpaceDN w:val="0"/>
        <w:adjustRightInd w:val="0"/>
        <w:spacing w:after="0" w:line="240" w:lineRule="auto"/>
        <w:ind w:left="720"/>
        <w:rPr>
          <w:rFonts w:cs="Arial"/>
          <w:szCs w:val="20"/>
        </w:rPr>
      </w:pPr>
      <w:r>
        <w:rPr>
          <w:rFonts w:cs="Arial"/>
          <w:szCs w:val="20"/>
        </w:rPr>
        <w:t xml:space="preserve">As noted above it is unlikely a single approach could be developed which would satisfy all firms.   The project should consider striking the balance between the extremes of developing a formula so simplified no firm would adopt it, relative to developing a formula so complex that </w:t>
      </w:r>
      <w:r w:rsidR="00A66463">
        <w:rPr>
          <w:rFonts w:cs="Arial"/>
          <w:szCs w:val="20"/>
        </w:rPr>
        <w:t>whilst it caters for all firms current recalculation methods, it is onerous to implement and unwieldy to understand.</w:t>
      </w:r>
    </w:p>
    <w:p w14:paraId="709EAFFE" w14:textId="77777777" w:rsidR="00B957A6" w:rsidRDefault="00B957A6" w:rsidP="00F16740">
      <w:pPr>
        <w:autoSpaceDE w:val="0"/>
        <w:autoSpaceDN w:val="0"/>
        <w:adjustRightInd w:val="0"/>
        <w:spacing w:after="0" w:line="240" w:lineRule="auto"/>
        <w:ind w:left="720"/>
        <w:rPr>
          <w:rFonts w:cs="Arial"/>
          <w:szCs w:val="20"/>
        </w:rPr>
      </w:pPr>
    </w:p>
    <w:p w14:paraId="60D21F7C" w14:textId="46993DE8" w:rsidR="00B957A6" w:rsidRPr="008A14C0" w:rsidRDefault="00CB5E56" w:rsidP="00ED72E6">
      <w:pPr>
        <w:spacing w:after="0"/>
        <w:ind w:left="720"/>
        <w:jc w:val="both"/>
        <w:rPr>
          <w:rFonts w:cs="Arial"/>
          <w:color w:val="000000"/>
          <w:szCs w:val="20"/>
        </w:rPr>
      </w:pPr>
      <w:r>
        <w:t>The wo</w:t>
      </w:r>
      <w:r w:rsidR="00B957A6">
        <w:t xml:space="preserve">rking </w:t>
      </w:r>
      <w:r>
        <w:t>p</w:t>
      </w:r>
      <w:r w:rsidR="00B957A6">
        <w:t>arty believes the PRA could perhaps publish a “tool kit” of simplifications which it believes to be acceptable: firms could then use as many of these simplifications as are appropriate for their particular circumstances.</w:t>
      </w:r>
    </w:p>
    <w:p w14:paraId="7E9CC480" w14:textId="77777777" w:rsidR="00796188" w:rsidRPr="00256A89" w:rsidRDefault="00796188" w:rsidP="00EC498C">
      <w:pPr>
        <w:pStyle w:val="ListParagraph"/>
        <w:ind w:left="1080"/>
        <w:jc w:val="both"/>
        <w:rPr>
          <w:rFonts w:cs="Arial"/>
          <w:color w:val="000000"/>
          <w:sz w:val="22"/>
        </w:rPr>
      </w:pPr>
    </w:p>
    <w:p w14:paraId="7B15C034" w14:textId="62050999" w:rsidR="00796188" w:rsidRPr="00EC498C" w:rsidRDefault="00796188" w:rsidP="00796188">
      <w:pPr>
        <w:pStyle w:val="ListParagraph"/>
        <w:numPr>
          <w:ilvl w:val="1"/>
          <w:numId w:val="7"/>
        </w:numPr>
        <w:jc w:val="both"/>
        <w:rPr>
          <w:rFonts w:cs="Arial"/>
          <w:color w:val="000000"/>
          <w:sz w:val="22"/>
        </w:rPr>
      </w:pPr>
      <w:r>
        <w:rPr>
          <w:rFonts w:cs="Arial"/>
          <w:szCs w:val="20"/>
        </w:rPr>
        <w:t>Partial adoption</w:t>
      </w:r>
      <w:r w:rsidR="00A66463">
        <w:rPr>
          <w:rFonts w:cs="Arial"/>
          <w:szCs w:val="20"/>
        </w:rPr>
        <w:t xml:space="preserve"> of formula</w:t>
      </w:r>
    </w:p>
    <w:p w14:paraId="45B77C8E" w14:textId="77777777" w:rsidR="00796188" w:rsidRDefault="00796188" w:rsidP="00EC498C">
      <w:pPr>
        <w:spacing w:after="0"/>
        <w:ind w:left="720"/>
        <w:jc w:val="both"/>
        <w:rPr>
          <w:rFonts w:cs="Arial"/>
          <w:color w:val="000000"/>
          <w:sz w:val="22"/>
        </w:rPr>
      </w:pPr>
    </w:p>
    <w:p w14:paraId="776BBC64" w14:textId="485F1C8D" w:rsidR="00796188" w:rsidRPr="00EC498C" w:rsidRDefault="00796188" w:rsidP="00EC498C">
      <w:pPr>
        <w:pStyle w:val="ListParagraph"/>
        <w:ind w:left="360" w:firstLine="360"/>
        <w:jc w:val="both"/>
        <w:rPr>
          <w:rFonts w:cs="Arial"/>
          <w:szCs w:val="20"/>
        </w:rPr>
      </w:pPr>
      <w:r w:rsidRPr="00EC498C">
        <w:rPr>
          <w:rFonts w:cs="Arial"/>
          <w:szCs w:val="20"/>
        </w:rPr>
        <w:t xml:space="preserve">This does not align to a </w:t>
      </w:r>
      <w:r w:rsidRPr="00256A89">
        <w:rPr>
          <w:rFonts w:cs="Arial"/>
          <w:szCs w:val="20"/>
        </w:rPr>
        <w:t>principle in the PRA TMTP simplification project note.</w:t>
      </w:r>
    </w:p>
    <w:p w14:paraId="4252A409" w14:textId="77777777" w:rsidR="00796188" w:rsidRDefault="00796188" w:rsidP="00EC498C">
      <w:pPr>
        <w:autoSpaceDE w:val="0"/>
        <w:autoSpaceDN w:val="0"/>
        <w:adjustRightInd w:val="0"/>
        <w:spacing w:after="0" w:line="240" w:lineRule="auto"/>
        <w:ind w:left="720"/>
        <w:rPr>
          <w:rFonts w:cs="Arial"/>
          <w:color w:val="000000"/>
          <w:sz w:val="22"/>
        </w:rPr>
      </w:pPr>
    </w:p>
    <w:p w14:paraId="40F9B423" w14:textId="5753D23A" w:rsidR="00796188" w:rsidRDefault="00796188" w:rsidP="00EC498C">
      <w:pPr>
        <w:ind w:left="720"/>
        <w:jc w:val="both"/>
        <w:rPr>
          <w:rFonts w:cs="Arial"/>
          <w:szCs w:val="20"/>
        </w:rPr>
      </w:pPr>
      <w:r w:rsidRPr="00EC498C">
        <w:rPr>
          <w:rFonts w:cs="Arial"/>
          <w:szCs w:val="20"/>
        </w:rPr>
        <w:t>The project should consider</w:t>
      </w:r>
      <w:r w:rsidR="00A66463">
        <w:rPr>
          <w:rFonts w:cs="Arial"/>
          <w:szCs w:val="20"/>
        </w:rPr>
        <w:t xml:space="preserve"> whether a firm could adopt some or all </w:t>
      </w:r>
      <w:r w:rsidR="00B957A6">
        <w:rPr>
          <w:rFonts w:cs="Arial"/>
          <w:szCs w:val="20"/>
        </w:rPr>
        <w:t xml:space="preserve">of the </w:t>
      </w:r>
      <w:r w:rsidR="00B957A6">
        <w:t>published simplifications</w:t>
      </w:r>
      <w:r w:rsidR="00A66463">
        <w:rPr>
          <w:rFonts w:cs="Arial"/>
          <w:szCs w:val="20"/>
        </w:rPr>
        <w:t xml:space="preserve">.  For example a firm may recalculate the Solvency I Pillar I FRR using a </w:t>
      </w:r>
      <w:r w:rsidR="00B957A6">
        <w:t>published simplification</w:t>
      </w:r>
      <w:r w:rsidR="00A66463">
        <w:rPr>
          <w:rFonts w:cs="Arial"/>
          <w:szCs w:val="20"/>
        </w:rPr>
        <w:t>, but continue to recalculate the remaining parts of its TMTP using an ‘internal’ approach.</w:t>
      </w:r>
    </w:p>
    <w:p w14:paraId="1CB15F70" w14:textId="4393596B" w:rsidR="007C12C7" w:rsidRDefault="007C12C7" w:rsidP="00EC498C">
      <w:pPr>
        <w:ind w:left="720"/>
        <w:jc w:val="both"/>
        <w:rPr>
          <w:rFonts w:cs="Arial"/>
          <w:color w:val="000000"/>
          <w:sz w:val="22"/>
        </w:rPr>
      </w:pPr>
      <w:r>
        <w:rPr>
          <w:rFonts w:cs="Arial"/>
          <w:szCs w:val="20"/>
        </w:rPr>
        <w:t>For example in a recent PRA, ABI working group and TMTP working party meeting it was suggested that a toolkit be developed which firms could use some or all of the proposed simplifications,  The working party believe</w:t>
      </w:r>
      <w:r w:rsidR="006517BD">
        <w:rPr>
          <w:rFonts w:cs="Arial"/>
          <w:szCs w:val="20"/>
        </w:rPr>
        <w:t>s</w:t>
      </w:r>
      <w:r>
        <w:rPr>
          <w:rFonts w:cs="Arial"/>
          <w:szCs w:val="20"/>
        </w:rPr>
        <w:t xml:space="preserve"> this is an interesting idea which should continue to be developed.</w:t>
      </w:r>
    </w:p>
    <w:p w14:paraId="5DB9B29A" w14:textId="77777777" w:rsidR="00F16740" w:rsidRPr="00EC498C" w:rsidRDefault="00F16740" w:rsidP="00EC498C">
      <w:pPr>
        <w:rPr>
          <w:rFonts w:cs="Arial"/>
          <w:szCs w:val="20"/>
        </w:rPr>
      </w:pPr>
    </w:p>
    <w:p w14:paraId="4AD86CA2" w14:textId="21CF706A" w:rsidR="008A14C0" w:rsidRPr="008A14C0" w:rsidRDefault="00E91B17" w:rsidP="008A14C0">
      <w:pPr>
        <w:pStyle w:val="ListParagraph"/>
        <w:numPr>
          <w:ilvl w:val="0"/>
          <w:numId w:val="7"/>
        </w:numPr>
        <w:jc w:val="both"/>
        <w:rPr>
          <w:rFonts w:cs="Arial"/>
          <w:b/>
          <w:szCs w:val="20"/>
        </w:rPr>
      </w:pPr>
      <w:r>
        <w:rPr>
          <w:rFonts w:cs="Arial"/>
          <w:b/>
          <w:szCs w:val="20"/>
        </w:rPr>
        <w:t xml:space="preserve">Key </w:t>
      </w:r>
      <w:r w:rsidR="00D40729">
        <w:rPr>
          <w:rFonts w:cs="Arial"/>
          <w:b/>
          <w:szCs w:val="20"/>
        </w:rPr>
        <w:t xml:space="preserve">practical challenges </w:t>
      </w:r>
      <w:r>
        <w:rPr>
          <w:rFonts w:cs="Arial"/>
          <w:b/>
          <w:szCs w:val="20"/>
        </w:rPr>
        <w:t xml:space="preserve">of the </w:t>
      </w:r>
      <w:r w:rsidR="008A14C0" w:rsidRPr="008A14C0">
        <w:rPr>
          <w:rFonts w:cs="Arial"/>
          <w:b/>
          <w:szCs w:val="20"/>
        </w:rPr>
        <w:t>TMTP simplification</w:t>
      </w:r>
      <w:r>
        <w:rPr>
          <w:rFonts w:cs="Arial"/>
          <w:b/>
          <w:szCs w:val="20"/>
        </w:rPr>
        <w:t xml:space="preserve"> method</w:t>
      </w:r>
    </w:p>
    <w:p w14:paraId="349B8A91" w14:textId="77777777" w:rsidR="00E91B17" w:rsidRDefault="00E91B17" w:rsidP="00E91B17">
      <w:pPr>
        <w:spacing w:after="0"/>
        <w:jc w:val="both"/>
        <w:rPr>
          <w:rFonts w:cs="Arial"/>
          <w:szCs w:val="20"/>
        </w:rPr>
      </w:pPr>
    </w:p>
    <w:p w14:paraId="047CFDD7" w14:textId="74B80EAA" w:rsidR="00E91B17" w:rsidRDefault="00E91B17" w:rsidP="008A14C0">
      <w:pPr>
        <w:jc w:val="both"/>
        <w:rPr>
          <w:rFonts w:cs="Arial"/>
          <w:szCs w:val="20"/>
        </w:rPr>
      </w:pPr>
      <w:r>
        <w:rPr>
          <w:rFonts w:cs="Arial"/>
          <w:szCs w:val="20"/>
        </w:rPr>
        <w:t xml:space="preserve">When developing a method for calculating the TMTP which is simplified and does not require an insurance company to maintain full processes and systems, a number of aspects need to be considered. </w:t>
      </w:r>
    </w:p>
    <w:p w14:paraId="29C37A41" w14:textId="6B68005E" w:rsidR="00E91B17" w:rsidRPr="00E91B17" w:rsidRDefault="00E91B17" w:rsidP="00E91B17">
      <w:pPr>
        <w:pStyle w:val="ListParagraph"/>
        <w:numPr>
          <w:ilvl w:val="0"/>
          <w:numId w:val="17"/>
        </w:numPr>
        <w:jc w:val="both"/>
        <w:rPr>
          <w:rFonts w:cs="Arial"/>
          <w:szCs w:val="20"/>
        </w:rPr>
      </w:pPr>
      <w:r>
        <w:rPr>
          <w:rFonts w:cs="Arial"/>
          <w:szCs w:val="20"/>
        </w:rPr>
        <w:t>Is there any scope to remove or reduce requirements, which would make any solution simpler to implement</w:t>
      </w:r>
      <w:r w:rsidR="004617C6">
        <w:rPr>
          <w:rFonts w:cs="Arial"/>
          <w:szCs w:val="20"/>
        </w:rPr>
        <w:t>?</w:t>
      </w:r>
    </w:p>
    <w:p w14:paraId="21CB3DD3" w14:textId="0D8F622F" w:rsidR="00E91B17" w:rsidRDefault="00E91B17" w:rsidP="00E91B17">
      <w:pPr>
        <w:pStyle w:val="ListParagraph"/>
        <w:numPr>
          <w:ilvl w:val="0"/>
          <w:numId w:val="17"/>
        </w:numPr>
        <w:jc w:val="both"/>
        <w:rPr>
          <w:rFonts w:cs="Arial"/>
          <w:szCs w:val="20"/>
        </w:rPr>
      </w:pPr>
      <w:r>
        <w:rPr>
          <w:rFonts w:cs="Arial"/>
          <w:szCs w:val="20"/>
        </w:rPr>
        <w:t xml:space="preserve">How many </w:t>
      </w:r>
      <w:r w:rsidR="007E0E02">
        <w:rPr>
          <w:rFonts w:cs="Arial"/>
          <w:szCs w:val="20"/>
        </w:rPr>
        <w:t>published simplifications</w:t>
      </w:r>
      <w:r>
        <w:rPr>
          <w:rFonts w:cs="Arial"/>
          <w:szCs w:val="20"/>
        </w:rPr>
        <w:t xml:space="preserve"> are required? Should there be one </w:t>
      </w:r>
      <w:r w:rsidR="007E0E02">
        <w:rPr>
          <w:rFonts w:cs="Arial"/>
          <w:szCs w:val="20"/>
        </w:rPr>
        <w:t>published simplification</w:t>
      </w:r>
      <w:r>
        <w:rPr>
          <w:rFonts w:cs="Arial"/>
          <w:szCs w:val="20"/>
        </w:rPr>
        <w:t xml:space="preserve"> or </w:t>
      </w:r>
      <w:r w:rsidR="00651800">
        <w:rPr>
          <w:rFonts w:cs="Arial"/>
          <w:szCs w:val="20"/>
        </w:rPr>
        <w:t>one</w:t>
      </w:r>
      <w:r w:rsidR="002C0734">
        <w:rPr>
          <w:rFonts w:cs="Arial"/>
          <w:szCs w:val="20"/>
        </w:rPr>
        <w:t xml:space="preserve"> </w:t>
      </w:r>
      <w:r>
        <w:rPr>
          <w:rFonts w:cs="Arial"/>
          <w:szCs w:val="20"/>
        </w:rPr>
        <w:t>for each of the unrestricted TMTP, the Solvency II Pillar I Financial Resource Requirement (FRR) and the Solvency II Pillar I FRR?</w:t>
      </w:r>
    </w:p>
    <w:p w14:paraId="137DF6C9" w14:textId="50B66D01" w:rsidR="00E91B17" w:rsidRDefault="00532D07" w:rsidP="00E91B17">
      <w:pPr>
        <w:pStyle w:val="ListParagraph"/>
        <w:numPr>
          <w:ilvl w:val="0"/>
          <w:numId w:val="17"/>
        </w:numPr>
        <w:jc w:val="both"/>
        <w:rPr>
          <w:rFonts w:cs="Arial"/>
          <w:szCs w:val="20"/>
        </w:rPr>
      </w:pPr>
      <w:r>
        <w:rPr>
          <w:rFonts w:cs="Arial"/>
          <w:szCs w:val="20"/>
        </w:rPr>
        <w:t>What should t</w:t>
      </w:r>
      <w:r w:rsidR="00E91B17">
        <w:rPr>
          <w:rFonts w:cs="Arial"/>
          <w:szCs w:val="20"/>
        </w:rPr>
        <w:t xml:space="preserve">he structure and functional form of the proposed </w:t>
      </w:r>
      <w:r w:rsidR="007E0E02">
        <w:rPr>
          <w:rFonts w:cs="Arial"/>
          <w:szCs w:val="20"/>
        </w:rPr>
        <w:t>published simplifications</w:t>
      </w:r>
      <w:r>
        <w:rPr>
          <w:rFonts w:cs="Arial"/>
          <w:szCs w:val="20"/>
        </w:rPr>
        <w:t xml:space="preserve"> be?</w:t>
      </w:r>
    </w:p>
    <w:p w14:paraId="397E69CD" w14:textId="0180A798" w:rsidR="00E91B17" w:rsidRDefault="00E91B17" w:rsidP="00E91B17">
      <w:pPr>
        <w:pStyle w:val="ListParagraph"/>
        <w:numPr>
          <w:ilvl w:val="0"/>
          <w:numId w:val="17"/>
        </w:numPr>
        <w:jc w:val="both"/>
        <w:rPr>
          <w:rFonts w:cs="Arial"/>
          <w:szCs w:val="20"/>
        </w:rPr>
      </w:pPr>
      <w:r>
        <w:rPr>
          <w:rFonts w:cs="Arial"/>
          <w:szCs w:val="20"/>
        </w:rPr>
        <w:t xml:space="preserve">What </w:t>
      </w:r>
      <w:r w:rsidR="00532D07">
        <w:rPr>
          <w:rFonts w:cs="Arial"/>
          <w:szCs w:val="20"/>
        </w:rPr>
        <w:t xml:space="preserve">should the </w:t>
      </w:r>
      <w:r>
        <w:rPr>
          <w:rFonts w:cs="Arial"/>
          <w:szCs w:val="20"/>
        </w:rPr>
        <w:t xml:space="preserve">inputs into the </w:t>
      </w:r>
      <w:r w:rsidR="007E0E02">
        <w:rPr>
          <w:rFonts w:cs="Arial"/>
          <w:szCs w:val="20"/>
        </w:rPr>
        <w:t xml:space="preserve">published simplifications </w:t>
      </w:r>
      <w:r>
        <w:rPr>
          <w:rFonts w:cs="Arial"/>
          <w:szCs w:val="20"/>
        </w:rPr>
        <w:t>be?</w:t>
      </w:r>
    </w:p>
    <w:p w14:paraId="260CE61F" w14:textId="518B9DCD" w:rsidR="00E91B17" w:rsidRDefault="00E91B17" w:rsidP="00E91B17">
      <w:pPr>
        <w:pStyle w:val="ListParagraph"/>
        <w:numPr>
          <w:ilvl w:val="0"/>
          <w:numId w:val="17"/>
        </w:numPr>
        <w:jc w:val="both"/>
        <w:rPr>
          <w:rFonts w:cs="Arial"/>
          <w:szCs w:val="20"/>
        </w:rPr>
      </w:pPr>
      <w:r>
        <w:rPr>
          <w:rFonts w:cs="Arial"/>
          <w:szCs w:val="20"/>
        </w:rPr>
        <w:t>Are these inputs entirely derived in advance or should they be monitored and change over time?</w:t>
      </w:r>
    </w:p>
    <w:p w14:paraId="7431AAE5" w14:textId="7B83A5B5" w:rsidR="00E91B17" w:rsidRDefault="00E91B17" w:rsidP="00E91B17">
      <w:pPr>
        <w:pStyle w:val="ListParagraph"/>
        <w:numPr>
          <w:ilvl w:val="0"/>
          <w:numId w:val="17"/>
        </w:numPr>
        <w:jc w:val="both"/>
        <w:rPr>
          <w:rFonts w:cs="Arial"/>
          <w:szCs w:val="20"/>
        </w:rPr>
      </w:pPr>
      <w:r>
        <w:rPr>
          <w:rFonts w:cs="Arial"/>
          <w:szCs w:val="20"/>
        </w:rPr>
        <w:t xml:space="preserve">What do transformations in company structure or management actions do to the </w:t>
      </w:r>
      <w:r w:rsidR="007E0E02">
        <w:rPr>
          <w:rFonts w:cs="Arial"/>
          <w:szCs w:val="20"/>
        </w:rPr>
        <w:t>published simplifications</w:t>
      </w:r>
      <w:r>
        <w:rPr>
          <w:rFonts w:cs="Arial"/>
          <w:szCs w:val="20"/>
        </w:rPr>
        <w:t>?</w:t>
      </w:r>
    </w:p>
    <w:p w14:paraId="358519C4" w14:textId="04790C04" w:rsidR="00E91B17" w:rsidRDefault="00E91B17" w:rsidP="00E91B17">
      <w:pPr>
        <w:pStyle w:val="ListParagraph"/>
        <w:numPr>
          <w:ilvl w:val="0"/>
          <w:numId w:val="17"/>
        </w:numPr>
        <w:jc w:val="both"/>
        <w:rPr>
          <w:rFonts w:cs="Arial"/>
          <w:szCs w:val="20"/>
        </w:rPr>
      </w:pPr>
      <w:r>
        <w:rPr>
          <w:rFonts w:cs="Arial"/>
          <w:szCs w:val="20"/>
        </w:rPr>
        <w:t>What incentives are there for firms to adopt these</w:t>
      </w:r>
      <w:r w:rsidR="007E0E02" w:rsidRPr="007E0E02">
        <w:rPr>
          <w:rFonts w:cs="Arial"/>
          <w:szCs w:val="20"/>
        </w:rPr>
        <w:t xml:space="preserve"> </w:t>
      </w:r>
      <w:r w:rsidR="007E0E02">
        <w:rPr>
          <w:rFonts w:cs="Arial"/>
          <w:szCs w:val="20"/>
        </w:rPr>
        <w:t>published simplifications</w:t>
      </w:r>
      <w:r>
        <w:rPr>
          <w:rFonts w:cs="Arial"/>
          <w:szCs w:val="20"/>
        </w:rPr>
        <w:t>?</w:t>
      </w:r>
    </w:p>
    <w:p w14:paraId="5D95774F" w14:textId="3C0E5153" w:rsidR="000B73A9" w:rsidRDefault="000B73A9" w:rsidP="000B73A9">
      <w:pPr>
        <w:pStyle w:val="ListParagraph"/>
        <w:numPr>
          <w:ilvl w:val="0"/>
          <w:numId w:val="17"/>
        </w:numPr>
        <w:jc w:val="both"/>
        <w:rPr>
          <w:rFonts w:cs="Arial"/>
          <w:szCs w:val="20"/>
        </w:rPr>
      </w:pPr>
      <w:r>
        <w:rPr>
          <w:rFonts w:cs="Arial"/>
          <w:szCs w:val="20"/>
        </w:rPr>
        <w:t xml:space="preserve">Who is responsible for the adoption of </w:t>
      </w:r>
      <w:r w:rsidR="007E0E02">
        <w:rPr>
          <w:rFonts w:cs="Arial"/>
          <w:szCs w:val="20"/>
        </w:rPr>
        <w:t xml:space="preserve">a published simplification </w:t>
      </w:r>
      <w:r>
        <w:rPr>
          <w:rFonts w:cs="Arial"/>
          <w:szCs w:val="20"/>
        </w:rPr>
        <w:t>or otherwise?</w:t>
      </w:r>
    </w:p>
    <w:p w14:paraId="6D4CE431" w14:textId="7FE8C83E" w:rsidR="00E91B17" w:rsidRDefault="00E91B17" w:rsidP="00E91B17">
      <w:pPr>
        <w:pStyle w:val="ListParagraph"/>
        <w:numPr>
          <w:ilvl w:val="0"/>
          <w:numId w:val="17"/>
        </w:numPr>
        <w:jc w:val="both"/>
        <w:rPr>
          <w:rFonts w:cs="Arial"/>
          <w:szCs w:val="20"/>
        </w:rPr>
      </w:pPr>
      <w:r>
        <w:rPr>
          <w:rFonts w:cs="Arial"/>
          <w:szCs w:val="20"/>
        </w:rPr>
        <w:t xml:space="preserve">What confidence or quality assurance can be provided to </w:t>
      </w:r>
      <w:r w:rsidR="006517BD">
        <w:rPr>
          <w:rFonts w:cs="Arial"/>
          <w:szCs w:val="20"/>
        </w:rPr>
        <w:t xml:space="preserve">inform </w:t>
      </w:r>
      <w:r w:rsidR="00962FA1">
        <w:rPr>
          <w:rFonts w:cs="Arial"/>
          <w:szCs w:val="20"/>
        </w:rPr>
        <w:t xml:space="preserve">a company and its </w:t>
      </w:r>
      <w:r>
        <w:rPr>
          <w:rFonts w:cs="Arial"/>
          <w:szCs w:val="20"/>
        </w:rPr>
        <w:t xml:space="preserve">audit committee to convince </w:t>
      </w:r>
      <w:r w:rsidR="006517BD">
        <w:rPr>
          <w:rFonts w:cs="Arial"/>
          <w:szCs w:val="20"/>
        </w:rPr>
        <w:t xml:space="preserve">it </w:t>
      </w:r>
      <w:r>
        <w:rPr>
          <w:rFonts w:cs="Arial"/>
          <w:szCs w:val="20"/>
        </w:rPr>
        <w:t xml:space="preserve">to adopt </w:t>
      </w:r>
      <w:r w:rsidR="007E0E02">
        <w:rPr>
          <w:rFonts w:cs="Arial"/>
          <w:szCs w:val="20"/>
        </w:rPr>
        <w:t>a published simplification</w:t>
      </w:r>
      <w:r>
        <w:rPr>
          <w:rFonts w:cs="Arial"/>
          <w:szCs w:val="20"/>
        </w:rPr>
        <w:t xml:space="preserve">? </w:t>
      </w:r>
    </w:p>
    <w:p w14:paraId="79856CC1" w14:textId="11C278E3" w:rsidR="00532D07" w:rsidRDefault="00532D07" w:rsidP="00E91B17">
      <w:pPr>
        <w:pStyle w:val="ListParagraph"/>
        <w:numPr>
          <w:ilvl w:val="0"/>
          <w:numId w:val="17"/>
        </w:numPr>
        <w:jc w:val="both"/>
        <w:rPr>
          <w:rFonts w:cs="Arial"/>
          <w:szCs w:val="20"/>
        </w:rPr>
      </w:pPr>
      <w:r>
        <w:rPr>
          <w:rFonts w:cs="Arial"/>
          <w:szCs w:val="20"/>
        </w:rPr>
        <w:lastRenderedPageBreak/>
        <w:t xml:space="preserve">How does a </w:t>
      </w:r>
      <w:r w:rsidR="007E0E02">
        <w:rPr>
          <w:rFonts w:cs="Arial"/>
          <w:szCs w:val="20"/>
        </w:rPr>
        <w:t>published simplification</w:t>
      </w:r>
      <w:r>
        <w:rPr>
          <w:rFonts w:cs="Arial"/>
          <w:szCs w:val="20"/>
        </w:rPr>
        <w:t xml:space="preserve"> </w:t>
      </w:r>
      <w:r w:rsidR="007E0E02">
        <w:rPr>
          <w:rFonts w:cs="Arial"/>
          <w:szCs w:val="20"/>
        </w:rPr>
        <w:t xml:space="preserve">apply to </w:t>
      </w:r>
      <w:r>
        <w:rPr>
          <w:rFonts w:cs="Arial"/>
          <w:szCs w:val="20"/>
        </w:rPr>
        <w:t>a firm which wishes to maintain all or part of its current TMTP recalculation methodology?</w:t>
      </w:r>
    </w:p>
    <w:p w14:paraId="58B6931C" w14:textId="18EE84C7" w:rsidR="000B73A9" w:rsidRPr="000B73A9" w:rsidRDefault="000B73A9" w:rsidP="000B73A9">
      <w:pPr>
        <w:pStyle w:val="ListParagraph"/>
        <w:numPr>
          <w:ilvl w:val="0"/>
          <w:numId w:val="17"/>
        </w:numPr>
        <w:jc w:val="both"/>
        <w:rPr>
          <w:rFonts w:cs="Arial"/>
          <w:szCs w:val="20"/>
        </w:rPr>
      </w:pPr>
      <w:r w:rsidRPr="000B73A9">
        <w:rPr>
          <w:rFonts w:cs="Arial"/>
          <w:szCs w:val="20"/>
        </w:rPr>
        <w:t xml:space="preserve">How can a firm communicate the outcome of using a </w:t>
      </w:r>
      <w:r w:rsidR="007E0E02">
        <w:rPr>
          <w:rFonts w:cs="Arial"/>
          <w:szCs w:val="20"/>
        </w:rPr>
        <w:t xml:space="preserve">published simplification </w:t>
      </w:r>
      <w:r>
        <w:rPr>
          <w:rFonts w:cs="Arial"/>
          <w:szCs w:val="20"/>
        </w:rPr>
        <w:t>method</w:t>
      </w:r>
      <w:r w:rsidRPr="000B73A9">
        <w:rPr>
          <w:rFonts w:cs="Arial"/>
          <w:szCs w:val="20"/>
        </w:rPr>
        <w:t xml:space="preserve"> </w:t>
      </w:r>
      <w:r w:rsidR="007E0E02">
        <w:rPr>
          <w:rFonts w:cs="Arial"/>
          <w:szCs w:val="20"/>
        </w:rPr>
        <w:t xml:space="preserve">both </w:t>
      </w:r>
      <w:r w:rsidRPr="000B73A9">
        <w:rPr>
          <w:rFonts w:cs="Arial"/>
          <w:szCs w:val="20"/>
        </w:rPr>
        <w:t>internal</w:t>
      </w:r>
      <w:r w:rsidR="007E0E02">
        <w:rPr>
          <w:rFonts w:cs="Arial"/>
          <w:szCs w:val="20"/>
        </w:rPr>
        <w:t>ly</w:t>
      </w:r>
      <w:r w:rsidRPr="000B73A9">
        <w:rPr>
          <w:rFonts w:cs="Arial"/>
          <w:szCs w:val="20"/>
        </w:rPr>
        <w:t xml:space="preserve"> and external</w:t>
      </w:r>
      <w:r w:rsidR="007E0E02">
        <w:rPr>
          <w:rFonts w:cs="Arial"/>
          <w:szCs w:val="20"/>
        </w:rPr>
        <w:t>ly</w:t>
      </w:r>
      <w:r w:rsidRPr="000B73A9">
        <w:rPr>
          <w:rFonts w:cs="Arial"/>
          <w:szCs w:val="20"/>
        </w:rPr>
        <w:t>?</w:t>
      </w:r>
    </w:p>
    <w:p w14:paraId="41BEC1A3" w14:textId="77777777" w:rsidR="008A14C0" w:rsidRPr="000B73A9" w:rsidRDefault="008A14C0" w:rsidP="008A14C0">
      <w:pPr>
        <w:jc w:val="both"/>
        <w:rPr>
          <w:rFonts w:cs="Arial"/>
          <w:szCs w:val="20"/>
          <w:u w:val="single"/>
        </w:rPr>
      </w:pPr>
    </w:p>
    <w:p w14:paraId="21CC6565" w14:textId="5BAAB674" w:rsidR="00532D07" w:rsidRDefault="00532D07" w:rsidP="008A14C0">
      <w:pPr>
        <w:jc w:val="both"/>
        <w:rPr>
          <w:rFonts w:cs="Arial"/>
          <w:szCs w:val="20"/>
        </w:rPr>
      </w:pPr>
      <w:r>
        <w:rPr>
          <w:rFonts w:cs="Arial"/>
          <w:szCs w:val="20"/>
        </w:rPr>
        <w:t xml:space="preserve">Each of these aspects are </w:t>
      </w:r>
      <w:r w:rsidR="00D40729">
        <w:rPr>
          <w:rFonts w:cs="Arial"/>
          <w:szCs w:val="20"/>
        </w:rPr>
        <w:t xml:space="preserve">expanded </w:t>
      </w:r>
      <w:r>
        <w:rPr>
          <w:rFonts w:cs="Arial"/>
          <w:szCs w:val="20"/>
        </w:rPr>
        <w:t>upon below</w:t>
      </w:r>
      <w:r w:rsidR="00D40729">
        <w:rPr>
          <w:rFonts w:cs="Arial"/>
          <w:szCs w:val="20"/>
        </w:rPr>
        <w:t>.</w:t>
      </w:r>
    </w:p>
    <w:p w14:paraId="12C8C5F4" w14:textId="4281A4AC" w:rsidR="00532D07" w:rsidRDefault="00532D07" w:rsidP="00532D07">
      <w:pPr>
        <w:pStyle w:val="ListParagraph"/>
        <w:numPr>
          <w:ilvl w:val="0"/>
          <w:numId w:val="19"/>
        </w:numPr>
        <w:jc w:val="both"/>
        <w:rPr>
          <w:rFonts w:cs="Arial"/>
          <w:b/>
          <w:szCs w:val="20"/>
        </w:rPr>
      </w:pPr>
      <w:r w:rsidRPr="00532D07">
        <w:rPr>
          <w:rFonts w:cs="Arial"/>
          <w:b/>
          <w:szCs w:val="20"/>
        </w:rPr>
        <w:t>Is there any scope to remove or reduce requirements, which would make any solution simpler to implement</w:t>
      </w:r>
      <w:r w:rsidR="00962FA1">
        <w:rPr>
          <w:rFonts w:cs="Arial"/>
          <w:b/>
          <w:szCs w:val="20"/>
        </w:rPr>
        <w:t>?</w:t>
      </w:r>
    </w:p>
    <w:p w14:paraId="2A4C1E57" w14:textId="77777777" w:rsidR="00532D07" w:rsidRDefault="00532D07" w:rsidP="00532D07">
      <w:pPr>
        <w:spacing w:after="0"/>
        <w:jc w:val="both"/>
        <w:rPr>
          <w:rFonts w:cs="Arial"/>
          <w:b/>
          <w:szCs w:val="20"/>
        </w:rPr>
      </w:pPr>
    </w:p>
    <w:p w14:paraId="7EDFCB70" w14:textId="1244CC74" w:rsidR="00532D07" w:rsidRDefault="00532D07" w:rsidP="00532D07">
      <w:pPr>
        <w:jc w:val="both"/>
        <w:rPr>
          <w:rFonts w:cs="Arial"/>
          <w:szCs w:val="20"/>
        </w:rPr>
      </w:pPr>
      <w:r>
        <w:rPr>
          <w:rFonts w:cs="Arial"/>
          <w:szCs w:val="20"/>
        </w:rPr>
        <w:t>Removing the need to derive any aspect of the TMTP would make the development and implementation of any simplification solution more straight forward.</w:t>
      </w:r>
    </w:p>
    <w:p w14:paraId="02C96505" w14:textId="11687FD7" w:rsidR="00CF587F" w:rsidRDefault="00532D07" w:rsidP="001F00C9">
      <w:pPr>
        <w:rPr>
          <w:rFonts w:cs="Arial"/>
          <w:szCs w:val="20"/>
        </w:rPr>
      </w:pPr>
      <w:r>
        <w:rPr>
          <w:rFonts w:cs="Arial"/>
          <w:szCs w:val="20"/>
        </w:rPr>
        <w:t>Example of aspects of the TMTP</w:t>
      </w:r>
      <w:r w:rsidR="00093E39">
        <w:rPr>
          <w:rFonts w:cs="Arial"/>
          <w:szCs w:val="20"/>
        </w:rPr>
        <w:t>,</w:t>
      </w:r>
      <w:r>
        <w:rPr>
          <w:rFonts w:cs="Arial"/>
          <w:szCs w:val="20"/>
        </w:rPr>
        <w:t xml:space="preserve"> which could be simplified, are:</w:t>
      </w:r>
    </w:p>
    <w:p w14:paraId="47202147" w14:textId="3FDBFBA6" w:rsidR="00CF587F" w:rsidRDefault="00532D07" w:rsidP="001F00C9">
      <w:pPr>
        <w:pStyle w:val="ListParagraph"/>
        <w:numPr>
          <w:ilvl w:val="0"/>
          <w:numId w:val="33"/>
        </w:numPr>
        <w:autoSpaceDE w:val="0"/>
        <w:autoSpaceDN w:val="0"/>
        <w:adjustRightInd w:val="0"/>
        <w:spacing w:line="240" w:lineRule="auto"/>
        <w:ind w:left="360"/>
        <w:jc w:val="both"/>
        <w:rPr>
          <w:rFonts w:cs="Arial"/>
          <w:szCs w:val="20"/>
        </w:rPr>
      </w:pPr>
      <w:r w:rsidRPr="001F00C9">
        <w:rPr>
          <w:rFonts w:cs="Arial"/>
          <w:szCs w:val="20"/>
        </w:rPr>
        <w:t xml:space="preserve">Removing the need for firms to recalculate Solvency II Pillar </w:t>
      </w:r>
      <w:r w:rsidR="006517BD">
        <w:rPr>
          <w:rFonts w:cs="Arial"/>
          <w:szCs w:val="20"/>
        </w:rPr>
        <w:t xml:space="preserve"> I, especially where this does not impact the level of the TMTP</w:t>
      </w:r>
      <w:r w:rsidRPr="001F00C9">
        <w:rPr>
          <w:rFonts w:cs="Arial"/>
          <w:szCs w:val="20"/>
        </w:rPr>
        <w:t>;</w:t>
      </w:r>
    </w:p>
    <w:p w14:paraId="6B17B13D" w14:textId="77777777" w:rsidR="00CF587F" w:rsidRPr="001F00C9" w:rsidRDefault="00CF587F" w:rsidP="001F00C9">
      <w:pPr>
        <w:pStyle w:val="ListParagraph"/>
        <w:autoSpaceDE w:val="0"/>
        <w:autoSpaceDN w:val="0"/>
        <w:adjustRightInd w:val="0"/>
        <w:spacing w:line="240" w:lineRule="auto"/>
        <w:ind w:left="360"/>
        <w:jc w:val="both"/>
        <w:rPr>
          <w:rFonts w:cs="Arial"/>
          <w:szCs w:val="20"/>
        </w:rPr>
      </w:pPr>
    </w:p>
    <w:p w14:paraId="7888E43C" w14:textId="3A051AB2" w:rsidR="00CF587F" w:rsidRPr="00ED72E6" w:rsidRDefault="00532D07" w:rsidP="001F00C9">
      <w:pPr>
        <w:pStyle w:val="ListParagraph"/>
        <w:numPr>
          <w:ilvl w:val="0"/>
          <w:numId w:val="33"/>
        </w:numPr>
        <w:autoSpaceDE w:val="0"/>
        <w:autoSpaceDN w:val="0"/>
        <w:adjustRightInd w:val="0"/>
        <w:spacing w:line="240" w:lineRule="auto"/>
        <w:ind w:left="360"/>
        <w:jc w:val="both"/>
        <w:rPr>
          <w:rFonts w:cs="Arial"/>
          <w:szCs w:val="20"/>
        </w:rPr>
      </w:pPr>
      <w:r w:rsidRPr="001F00C9">
        <w:rPr>
          <w:rFonts w:cs="Arial"/>
          <w:szCs w:val="20"/>
        </w:rPr>
        <w:t xml:space="preserve">Removing the need for firms to recalculate either Solvency II Pillar I or Solvency I Pillar II, where the TMTP is restricted by the FRR test and one of these Pillar is clearly </w:t>
      </w:r>
      <w:r w:rsidRPr="00ED72E6">
        <w:rPr>
          <w:rFonts w:cs="Arial"/>
          <w:szCs w:val="20"/>
        </w:rPr>
        <w:t>the more onerous;</w:t>
      </w:r>
    </w:p>
    <w:p w14:paraId="200AD2C3" w14:textId="77777777" w:rsidR="00CF587F" w:rsidRPr="00ED72E6" w:rsidRDefault="00CF587F" w:rsidP="001F00C9">
      <w:pPr>
        <w:pStyle w:val="ListParagraph"/>
        <w:autoSpaceDE w:val="0"/>
        <w:autoSpaceDN w:val="0"/>
        <w:adjustRightInd w:val="0"/>
        <w:spacing w:line="240" w:lineRule="auto"/>
        <w:ind w:left="360"/>
        <w:rPr>
          <w:rFonts w:cs="Arial"/>
          <w:szCs w:val="20"/>
        </w:rPr>
      </w:pPr>
    </w:p>
    <w:p w14:paraId="5A443B8F" w14:textId="0BA2206C" w:rsidR="00CF587F" w:rsidRDefault="00532D07" w:rsidP="001F00C9">
      <w:pPr>
        <w:pStyle w:val="ListParagraph"/>
        <w:numPr>
          <w:ilvl w:val="0"/>
          <w:numId w:val="33"/>
        </w:numPr>
        <w:autoSpaceDE w:val="0"/>
        <w:autoSpaceDN w:val="0"/>
        <w:adjustRightInd w:val="0"/>
        <w:spacing w:line="240" w:lineRule="auto"/>
        <w:ind w:left="360"/>
        <w:jc w:val="both"/>
        <w:rPr>
          <w:rFonts w:cs="Arial"/>
          <w:szCs w:val="20"/>
        </w:rPr>
      </w:pPr>
      <w:r w:rsidRPr="00ED72E6">
        <w:rPr>
          <w:rFonts w:cs="Arial"/>
          <w:szCs w:val="20"/>
        </w:rPr>
        <w:t xml:space="preserve">Removing the need to derive the FRR test where the TMTP is based on the unrestricted TMTP and the </w:t>
      </w:r>
      <w:r w:rsidR="00093E39" w:rsidRPr="00ED72E6">
        <w:rPr>
          <w:rFonts w:cs="Arial"/>
          <w:szCs w:val="20"/>
        </w:rPr>
        <w:t xml:space="preserve">TMTP is </w:t>
      </w:r>
      <w:r w:rsidRPr="00ED72E6">
        <w:rPr>
          <w:rFonts w:cs="Arial"/>
          <w:szCs w:val="20"/>
        </w:rPr>
        <w:t xml:space="preserve">clearly not </w:t>
      </w:r>
      <w:r w:rsidR="00093E39" w:rsidRPr="00ED72E6">
        <w:rPr>
          <w:rFonts w:cs="Arial"/>
          <w:szCs w:val="20"/>
        </w:rPr>
        <w:t>likely to have a FRR restriction;</w:t>
      </w:r>
      <w:r w:rsidR="00CF587F" w:rsidRPr="00ED72E6" w:rsidDel="00CF587F">
        <w:rPr>
          <w:rFonts w:cs="Arial"/>
          <w:szCs w:val="20"/>
        </w:rPr>
        <w:t xml:space="preserve"> </w:t>
      </w:r>
    </w:p>
    <w:p w14:paraId="1B551B37" w14:textId="77777777" w:rsidR="00CF587F" w:rsidRDefault="00CF587F" w:rsidP="001F00C9">
      <w:pPr>
        <w:pStyle w:val="ListParagraph"/>
        <w:autoSpaceDE w:val="0"/>
        <w:autoSpaceDN w:val="0"/>
        <w:adjustRightInd w:val="0"/>
        <w:spacing w:line="240" w:lineRule="auto"/>
        <w:ind w:left="360"/>
        <w:jc w:val="both"/>
        <w:rPr>
          <w:rFonts w:cs="Arial"/>
          <w:szCs w:val="20"/>
        </w:rPr>
      </w:pPr>
    </w:p>
    <w:p w14:paraId="7346BAF6" w14:textId="628F606E" w:rsidR="00CF587F" w:rsidRPr="00ED72E6" w:rsidRDefault="00093E39" w:rsidP="001F00C9">
      <w:pPr>
        <w:pStyle w:val="ListParagraph"/>
        <w:numPr>
          <w:ilvl w:val="0"/>
          <w:numId w:val="33"/>
        </w:numPr>
        <w:autoSpaceDE w:val="0"/>
        <w:autoSpaceDN w:val="0"/>
        <w:adjustRightInd w:val="0"/>
        <w:spacing w:line="240" w:lineRule="auto"/>
        <w:ind w:left="360"/>
        <w:jc w:val="both"/>
        <w:rPr>
          <w:rFonts w:cs="Arial"/>
          <w:szCs w:val="20"/>
        </w:rPr>
      </w:pPr>
      <w:r w:rsidRPr="001F00C9">
        <w:rPr>
          <w:rFonts w:cs="Arial"/>
          <w:szCs w:val="20"/>
        </w:rPr>
        <w:t>Reducing</w:t>
      </w:r>
      <w:r w:rsidR="00231E3C">
        <w:rPr>
          <w:rFonts w:cs="Arial"/>
          <w:szCs w:val="20"/>
        </w:rPr>
        <w:t xml:space="preserve"> or recognising simplified approaches to meet </w:t>
      </w:r>
      <w:r w:rsidRPr="001F00C9">
        <w:rPr>
          <w:rFonts w:cs="Arial"/>
          <w:szCs w:val="20"/>
        </w:rPr>
        <w:t xml:space="preserve">disclosure requirements which </w:t>
      </w:r>
      <w:r w:rsidR="00651800" w:rsidRPr="001F00C9">
        <w:rPr>
          <w:rFonts w:cs="Arial"/>
          <w:szCs w:val="20"/>
        </w:rPr>
        <w:t xml:space="preserve">may </w:t>
      </w:r>
      <w:r w:rsidRPr="001F00C9">
        <w:rPr>
          <w:rFonts w:cs="Arial"/>
          <w:szCs w:val="20"/>
        </w:rPr>
        <w:t xml:space="preserve">not </w:t>
      </w:r>
      <w:r w:rsidR="00651800" w:rsidRPr="001F00C9">
        <w:rPr>
          <w:rFonts w:cs="Arial"/>
          <w:szCs w:val="20"/>
        </w:rPr>
        <w:t xml:space="preserve">be </w:t>
      </w:r>
      <w:r w:rsidRPr="00ED72E6">
        <w:rPr>
          <w:rFonts w:cs="Arial"/>
          <w:szCs w:val="20"/>
        </w:rPr>
        <w:t>critical to deriving the value of the TMTP.  For example deriving the value of ‘Solvency II Day 1 technical provisions’ in the S.22.05 QRT is not critical to the TMTP – the differences in Solvency I and Solvency II technical</w:t>
      </w:r>
      <w:r w:rsidR="00CF587F" w:rsidRPr="00ED72E6">
        <w:rPr>
          <w:rFonts w:cs="Arial"/>
          <w:szCs w:val="20"/>
        </w:rPr>
        <w:t xml:space="preserve"> </w:t>
      </w:r>
      <w:r w:rsidRPr="00ED72E6">
        <w:rPr>
          <w:rFonts w:cs="Arial"/>
          <w:szCs w:val="20"/>
        </w:rPr>
        <w:t>provisions</w:t>
      </w:r>
      <w:r w:rsidR="00BE6AA0" w:rsidRPr="00ED72E6">
        <w:rPr>
          <w:rFonts w:cs="Arial"/>
          <w:szCs w:val="20"/>
        </w:rPr>
        <w:t xml:space="preserve"> and FRRs are</w:t>
      </w:r>
      <w:r w:rsidR="006C18F5" w:rsidRPr="00ED72E6">
        <w:rPr>
          <w:rFonts w:cs="Arial"/>
          <w:szCs w:val="20"/>
        </w:rPr>
        <w:t xml:space="preserve"> critical;</w:t>
      </w:r>
    </w:p>
    <w:p w14:paraId="7614E9AA" w14:textId="77777777" w:rsidR="00CF587F" w:rsidRPr="00ED72E6" w:rsidRDefault="00CF587F" w:rsidP="001F00C9">
      <w:pPr>
        <w:pStyle w:val="ListParagraph"/>
        <w:autoSpaceDE w:val="0"/>
        <w:autoSpaceDN w:val="0"/>
        <w:adjustRightInd w:val="0"/>
        <w:spacing w:line="240" w:lineRule="auto"/>
        <w:ind w:left="360"/>
        <w:jc w:val="both"/>
        <w:rPr>
          <w:rFonts w:cs="Arial"/>
          <w:szCs w:val="20"/>
        </w:rPr>
      </w:pPr>
    </w:p>
    <w:p w14:paraId="687B0F20" w14:textId="7B34543E" w:rsidR="007E0E02" w:rsidRDefault="00BE6AA0" w:rsidP="001F00C9">
      <w:pPr>
        <w:pStyle w:val="ListParagraph"/>
        <w:numPr>
          <w:ilvl w:val="0"/>
          <w:numId w:val="33"/>
        </w:numPr>
        <w:autoSpaceDE w:val="0"/>
        <w:autoSpaceDN w:val="0"/>
        <w:adjustRightInd w:val="0"/>
        <w:spacing w:line="240" w:lineRule="auto"/>
        <w:ind w:left="360"/>
        <w:jc w:val="both"/>
        <w:rPr>
          <w:rFonts w:cs="Arial"/>
          <w:szCs w:val="20"/>
        </w:rPr>
      </w:pPr>
      <w:r w:rsidRPr="00ED72E6">
        <w:rPr>
          <w:rFonts w:cs="Arial"/>
          <w:szCs w:val="20"/>
        </w:rPr>
        <w:t xml:space="preserve">The need to consider aspects of TMTP recalculation that are not critical to the value of the TMTP, but are required due to TMTP legislation.  </w:t>
      </w:r>
      <w:r w:rsidR="00651800" w:rsidRPr="00ED72E6">
        <w:rPr>
          <w:rFonts w:cs="Arial"/>
          <w:szCs w:val="20"/>
        </w:rPr>
        <w:t xml:space="preserve">In particular these aspects draw attention away from more important issues. </w:t>
      </w:r>
      <w:r w:rsidRPr="00ED72E6">
        <w:rPr>
          <w:rFonts w:cs="Arial"/>
          <w:szCs w:val="20"/>
        </w:rPr>
        <w:t>For example</w:t>
      </w:r>
      <w:r w:rsidR="007E0E02" w:rsidRPr="00ED72E6">
        <w:rPr>
          <w:rFonts w:cs="Arial"/>
          <w:szCs w:val="20"/>
        </w:rPr>
        <w:t xml:space="preserve"> t</w:t>
      </w:r>
      <w:r w:rsidRPr="00ED72E6">
        <w:rPr>
          <w:rFonts w:cs="Arial"/>
          <w:szCs w:val="20"/>
        </w:rPr>
        <w:t>he need to adjust the TMTP formula to avoid ‘double run-off’</w:t>
      </w:r>
      <w:r w:rsidR="00651800" w:rsidRPr="00ED72E6">
        <w:rPr>
          <w:rFonts w:cs="Arial"/>
          <w:szCs w:val="20"/>
        </w:rPr>
        <w:t xml:space="preserve"> which both meets the requirements of the Solvency II regulation and ensures a sensible outcome for TMTP.</w:t>
      </w:r>
    </w:p>
    <w:p w14:paraId="64A2B19D" w14:textId="77777777" w:rsidR="00093E39" w:rsidRPr="00532D07" w:rsidRDefault="00093E39" w:rsidP="00ED72E6">
      <w:pPr>
        <w:pStyle w:val="ListParagraph"/>
        <w:ind w:left="1440"/>
        <w:jc w:val="both"/>
        <w:rPr>
          <w:rFonts w:cs="Arial"/>
          <w:szCs w:val="20"/>
        </w:rPr>
      </w:pPr>
    </w:p>
    <w:p w14:paraId="3B5EEF1E" w14:textId="36483FF0" w:rsidR="00532D07" w:rsidRDefault="00532D07" w:rsidP="00532D07">
      <w:pPr>
        <w:pStyle w:val="ListParagraph"/>
        <w:numPr>
          <w:ilvl w:val="0"/>
          <w:numId w:val="19"/>
        </w:numPr>
        <w:jc w:val="both"/>
        <w:rPr>
          <w:rFonts w:cs="Arial"/>
          <w:b/>
          <w:szCs w:val="20"/>
        </w:rPr>
      </w:pPr>
      <w:r w:rsidRPr="00532D07">
        <w:rPr>
          <w:rFonts w:cs="Arial"/>
          <w:b/>
          <w:szCs w:val="20"/>
        </w:rPr>
        <w:t xml:space="preserve">How many </w:t>
      </w:r>
      <w:r w:rsidR="00CF587F" w:rsidRPr="00ED72E6">
        <w:rPr>
          <w:rFonts w:cs="Arial"/>
          <w:b/>
          <w:szCs w:val="20"/>
        </w:rPr>
        <w:t>published simplifications</w:t>
      </w:r>
      <w:r w:rsidRPr="00532D07">
        <w:rPr>
          <w:rFonts w:cs="Arial"/>
          <w:b/>
          <w:szCs w:val="20"/>
        </w:rPr>
        <w:t xml:space="preserve"> are required? Should there be one </w:t>
      </w:r>
      <w:r w:rsidR="00CF587F" w:rsidRPr="00ED72E6">
        <w:rPr>
          <w:rFonts w:cs="Arial"/>
          <w:b/>
          <w:szCs w:val="20"/>
        </w:rPr>
        <w:t>published simplification</w:t>
      </w:r>
      <w:r w:rsidRPr="00532D07">
        <w:rPr>
          <w:rFonts w:cs="Arial"/>
          <w:b/>
          <w:szCs w:val="20"/>
        </w:rPr>
        <w:t xml:space="preserve"> or </w:t>
      </w:r>
      <w:r w:rsidR="00CF587F">
        <w:rPr>
          <w:rFonts w:cs="Arial"/>
          <w:b/>
          <w:szCs w:val="20"/>
        </w:rPr>
        <w:t xml:space="preserve">one </w:t>
      </w:r>
      <w:r w:rsidRPr="00532D07">
        <w:rPr>
          <w:rFonts w:cs="Arial"/>
          <w:b/>
          <w:szCs w:val="20"/>
        </w:rPr>
        <w:t>for each of the unrestricted TMTP, the Solvency II Pillar I Financial Resource Requirement (FRR) and the Solvency II Pillar I FRR?</w:t>
      </w:r>
    </w:p>
    <w:p w14:paraId="0C8DA29A" w14:textId="77777777" w:rsidR="00093E39" w:rsidRDefault="00093E39" w:rsidP="00093E39">
      <w:pPr>
        <w:spacing w:after="0"/>
        <w:jc w:val="both"/>
        <w:rPr>
          <w:rFonts w:cs="Arial"/>
          <w:b/>
          <w:szCs w:val="20"/>
        </w:rPr>
      </w:pPr>
    </w:p>
    <w:p w14:paraId="1B934323" w14:textId="61CB17DE" w:rsidR="00093E39" w:rsidRDefault="00651800" w:rsidP="00093E39">
      <w:pPr>
        <w:jc w:val="both"/>
        <w:rPr>
          <w:rFonts w:cs="Arial"/>
          <w:szCs w:val="20"/>
        </w:rPr>
      </w:pPr>
      <w:r>
        <w:rPr>
          <w:rFonts w:cs="Arial"/>
          <w:szCs w:val="20"/>
        </w:rPr>
        <w:t>The working party believe</w:t>
      </w:r>
      <w:r w:rsidR="006517BD">
        <w:rPr>
          <w:rFonts w:cs="Arial"/>
          <w:szCs w:val="20"/>
        </w:rPr>
        <w:t>s</w:t>
      </w:r>
      <w:r>
        <w:rPr>
          <w:rFonts w:cs="Arial"/>
          <w:szCs w:val="20"/>
        </w:rPr>
        <w:t xml:space="preserve"> it is reasonable </w:t>
      </w:r>
      <w:r w:rsidR="00093E39">
        <w:rPr>
          <w:rFonts w:cs="Arial"/>
          <w:szCs w:val="20"/>
        </w:rPr>
        <w:t>to have separate</w:t>
      </w:r>
      <w:r w:rsidR="00CF587F" w:rsidRPr="00CF587F">
        <w:rPr>
          <w:rFonts w:cs="Arial"/>
          <w:szCs w:val="20"/>
        </w:rPr>
        <w:t xml:space="preserve"> </w:t>
      </w:r>
      <w:r w:rsidR="00CF587F">
        <w:rPr>
          <w:rFonts w:cs="Arial"/>
          <w:szCs w:val="20"/>
        </w:rPr>
        <w:t xml:space="preserve">published simplifications </w:t>
      </w:r>
      <w:r w:rsidR="00093E39">
        <w:rPr>
          <w:rFonts w:cs="Arial"/>
          <w:szCs w:val="20"/>
        </w:rPr>
        <w:t>for each of the following aspects of the TMTP.</w:t>
      </w:r>
    </w:p>
    <w:p w14:paraId="4011ACC6" w14:textId="176C5075" w:rsidR="00093E39" w:rsidRDefault="00093E39" w:rsidP="00093E39">
      <w:pPr>
        <w:pStyle w:val="ListParagraph"/>
        <w:numPr>
          <w:ilvl w:val="0"/>
          <w:numId w:val="22"/>
        </w:numPr>
        <w:jc w:val="both"/>
        <w:rPr>
          <w:rFonts w:cs="Arial"/>
          <w:szCs w:val="20"/>
        </w:rPr>
      </w:pPr>
      <w:r>
        <w:rPr>
          <w:rFonts w:cs="Arial"/>
          <w:szCs w:val="20"/>
        </w:rPr>
        <w:t>Unrestricted TMTP</w:t>
      </w:r>
    </w:p>
    <w:p w14:paraId="34B1E05A" w14:textId="07791A56" w:rsidR="00093E39" w:rsidRDefault="00093E39" w:rsidP="00093E39">
      <w:pPr>
        <w:pStyle w:val="ListParagraph"/>
        <w:numPr>
          <w:ilvl w:val="0"/>
          <w:numId w:val="22"/>
        </w:numPr>
        <w:jc w:val="both"/>
        <w:rPr>
          <w:rFonts w:cs="Arial"/>
          <w:szCs w:val="20"/>
        </w:rPr>
      </w:pPr>
      <w:r>
        <w:rPr>
          <w:rFonts w:cs="Arial"/>
          <w:szCs w:val="20"/>
        </w:rPr>
        <w:t>Solvency I Pillar I FRR, where Peak I is the most onerous of the Solvency I Pillar I Peaks</w:t>
      </w:r>
    </w:p>
    <w:p w14:paraId="7E687DD4" w14:textId="09B02F6C" w:rsidR="00093E39" w:rsidRDefault="00093E39" w:rsidP="00093E39">
      <w:pPr>
        <w:pStyle w:val="ListParagraph"/>
        <w:numPr>
          <w:ilvl w:val="0"/>
          <w:numId w:val="22"/>
        </w:numPr>
        <w:jc w:val="both"/>
        <w:rPr>
          <w:rFonts w:cs="Arial"/>
          <w:szCs w:val="20"/>
        </w:rPr>
      </w:pPr>
      <w:r>
        <w:rPr>
          <w:rFonts w:cs="Arial"/>
          <w:szCs w:val="20"/>
        </w:rPr>
        <w:t>Solvency I Pillar I FRR, where Peak II is the most onerous of the Solvency I Pillar I Peaks</w:t>
      </w:r>
    </w:p>
    <w:p w14:paraId="2F5ED214" w14:textId="315754D3" w:rsidR="00093E39" w:rsidRDefault="00093E39" w:rsidP="00093E39">
      <w:pPr>
        <w:pStyle w:val="ListParagraph"/>
        <w:numPr>
          <w:ilvl w:val="0"/>
          <w:numId w:val="22"/>
        </w:numPr>
        <w:jc w:val="both"/>
        <w:rPr>
          <w:rFonts w:cs="Arial"/>
          <w:szCs w:val="20"/>
        </w:rPr>
      </w:pPr>
      <w:r>
        <w:rPr>
          <w:rFonts w:cs="Arial"/>
          <w:szCs w:val="20"/>
        </w:rPr>
        <w:t>Solvency I Pillar II FRR</w:t>
      </w:r>
    </w:p>
    <w:p w14:paraId="0947563C" w14:textId="77777777" w:rsidR="00093E39" w:rsidRDefault="00093E39" w:rsidP="00093E39">
      <w:pPr>
        <w:spacing w:after="0"/>
        <w:jc w:val="both"/>
        <w:rPr>
          <w:rFonts w:cs="Arial"/>
          <w:szCs w:val="20"/>
        </w:rPr>
      </w:pPr>
    </w:p>
    <w:p w14:paraId="2659579E" w14:textId="3AA2BF18" w:rsidR="006918BA" w:rsidRDefault="006918BA" w:rsidP="00093E39">
      <w:pPr>
        <w:spacing w:after="0"/>
        <w:jc w:val="both"/>
        <w:rPr>
          <w:rFonts w:cs="Arial"/>
          <w:szCs w:val="20"/>
        </w:rPr>
      </w:pPr>
      <w:r>
        <w:rPr>
          <w:rFonts w:cs="Arial"/>
          <w:szCs w:val="20"/>
        </w:rPr>
        <w:t>Given the FRR test includes all business in a legal entity, and not just business prior to the implementation of Solvency II, the Solvency II FRR is deliberately omitted from the list above.</w:t>
      </w:r>
    </w:p>
    <w:p w14:paraId="4B235AA5" w14:textId="77777777" w:rsidR="006918BA" w:rsidRDefault="006918BA" w:rsidP="00093E39">
      <w:pPr>
        <w:spacing w:after="0"/>
        <w:jc w:val="both"/>
        <w:rPr>
          <w:rFonts w:cs="Arial"/>
          <w:szCs w:val="20"/>
        </w:rPr>
      </w:pPr>
    </w:p>
    <w:p w14:paraId="6F3AEC3A" w14:textId="2CE1D232" w:rsidR="0057689D" w:rsidRDefault="00651800" w:rsidP="00093E39">
      <w:pPr>
        <w:spacing w:after="0"/>
        <w:jc w:val="both"/>
        <w:rPr>
          <w:rFonts w:cs="Arial"/>
          <w:szCs w:val="20"/>
        </w:rPr>
      </w:pPr>
      <w:r>
        <w:rPr>
          <w:rFonts w:cs="Arial"/>
          <w:szCs w:val="20"/>
        </w:rPr>
        <w:t>Whether all of these</w:t>
      </w:r>
      <w:r w:rsidR="00CF587F" w:rsidRPr="00CF587F">
        <w:rPr>
          <w:rFonts w:cs="Arial"/>
          <w:szCs w:val="20"/>
        </w:rPr>
        <w:t xml:space="preserve"> </w:t>
      </w:r>
      <w:r w:rsidR="00CF587F">
        <w:rPr>
          <w:rFonts w:cs="Arial"/>
          <w:szCs w:val="20"/>
        </w:rPr>
        <w:t xml:space="preserve">aspects </w:t>
      </w:r>
      <w:r>
        <w:rPr>
          <w:rFonts w:cs="Arial"/>
          <w:szCs w:val="20"/>
        </w:rPr>
        <w:t xml:space="preserve">are required to be recalculated for a given TMTP recalculation will depend on the TMTP basis of a firm i.e. whether a firm’s TMTP is on a unrestricted basis, is clearly restricted by one of the Solvency I FRRs or the Solvency I FRRs are close and/or both need reassessing.  </w:t>
      </w:r>
      <w:r w:rsidR="0057689D">
        <w:rPr>
          <w:rFonts w:cs="Arial"/>
          <w:szCs w:val="20"/>
        </w:rPr>
        <w:t>However, a key simplification noted above is to calculate only one Solvency I Pillar.</w:t>
      </w:r>
    </w:p>
    <w:p w14:paraId="48D71A65" w14:textId="77777777" w:rsidR="00651800" w:rsidRDefault="00651800" w:rsidP="00093E39">
      <w:pPr>
        <w:spacing w:after="0"/>
        <w:jc w:val="both"/>
        <w:rPr>
          <w:rFonts w:cs="Arial"/>
          <w:szCs w:val="20"/>
        </w:rPr>
      </w:pPr>
    </w:p>
    <w:p w14:paraId="1D435834" w14:textId="31734C94" w:rsidR="0057689D" w:rsidRDefault="00093E39" w:rsidP="00093E39">
      <w:pPr>
        <w:jc w:val="both"/>
        <w:rPr>
          <w:rFonts w:cs="Arial"/>
          <w:szCs w:val="20"/>
        </w:rPr>
      </w:pPr>
      <w:r>
        <w:rPr>
          <w:rFonts w:cs="Arial"/>
          <w:szCs w:val="20"/>
        </w:rPr>
        <w:lastRenderedPageBreak/>
        <w:t xml:space="preserve">It is asserted that the calculation of the Solvency II FRR, prior to the inclusion of the TMTP, is derived as part of the reporting requirements of Solvency II, and does not require a formula.  The Solvency II FRR including the TMTP, and allowing for any required restriction, would be an outcome of the </w:t>
      </w:r>
      <w:r w:rsidR="006517BD">
        <w:rPr>
          <w:rFonts w:cs="Arial"/>
          <w:szCs w:val="20"/>
        </w:rPr>
        <w:t xml:space="preserve">formulae </w:t>
      </w:r>
      <w:r>
        <w:rPr>
          <w:rFonts w:cs="Arial"/>
          <w:szCs w:val="20"/>
        </w:rPr>
        <w:t>outlined above.</w:t>
      </w:r>
    </w:p>
    <w:p w14:paraId="7053CDB1" w14:textId="18EFFC83" w:rsidR="000676C9" w:rsidRDefault="000676C9" w:rsidP="00ED72E6">
      <w:pPr>
        <w:jc w:val="both"/>
        <w:rPr>
          <w:rFonts w:cs="Arial"/>
          <w:szCs w:val="20"/>
        </w:rPr>
      </w:pPr>
    </w:p>
    <w:p w14:paraId="440824B2" w14:textId="2F4DA3D5" w:rsidR="00532D07" w:rsidRDefault="00532D07" w:rsidP="00532D07">
      <w:pPr>
        <w:pStyle w:val="ListParagraph"/>
        <w:numPr>
          <w:ilvl w:val="0"/>
          <w:numId w:val="19"/>
        </w:numPr>
        <w:jc w:val="both"/>
        <w:rPr>
          <w:rFonts w:cs="Arial"/>
          <w:b/>
          <w:szCs w:val="20"/>
        </w:rPr>
      </w:pPr>
      <w:r w:rsidRPr="00532D07">
        <w:rPr>
          <w:rFonts w:cs="Arial"/>
          <w:b/>
          <w:szCs w:val="20"/>
        </w:rPr>
        <w:t>What should the structure and functional form of the proposed formula(</w:t>
      </w:r>
      <w:r w:rsidR="00962FA1">
        <w:rPr>
          <w:rFonts w:cs="Arial"/>
          <w:b/>
          <w:szCs w:val="20"/>
        </w:rPr>
        <w:t>e</w:t>
      </w:r>
      <w:r w:rsidRPr="00532D07">
        <w:rPr>
          <w:rFonts w:cs="Arial"/>
          <w:b/>
          <w:szCs w:val="20"/>
        </w:rPr>
        <w:t>) be?</w:t>
      </w:r>
    </w:p>
    <w:p w14:paraId="0EDED299" w14:textId="77777777" w:rsidR="00093E39" w:rsidRDefault="00093E39" w:rsidP="000676C9">
      <w:pPr>
        <w:spacing w:after="0"/>
        <w:jc w:val="both"/>
        <w:rPr>
          <w:rFonts w:cs="Arial"/>
          <w:b/>
          <w:szCs w:val="20"/>
        </w:rPr>
      </w:pPr>
    </w:p>
    <w:p w14:paraId="21EAB1B8" w14:textId="77777777" w:rsidR="000676C9" w:rsidRDefault="00093E39" w:rsidP="00093E39">
      <w:pPr>
        <w:jc w:val="both"/>
        <w:rPr>
          <w:rFonts w:cs="Arial"/>
          <w:szCs w:val="20"/>
        </w:rPr>
      </w:pPr>
      <w:r>
        <w:rPr>
          <w:rFonts w:cs="Arial"/>
          <w:szCs w:val="20"/>
        </w:rPr>
        <w:t>It is proposed that</w:t>
      </w:r>
      <w:r w:rsidR="000676C9">
        <w:rPr>
          <w:rFonts w:cs="Arial"/>
          <w:szCs w:val="20"/>
        </w:rPr>
        <w:t>:</w:t>
      </w:r>
    </w:p>
    <w:p w14:paraId="6EABFB9D" w14:textId="7BC7E2B8" w:rsidR="000676C9" w:rsidRDefault="000676C9" w:rsidP="000676C9">
      <w:pPr>
        <w:pStyle w:val="ListParagraph"/>
        <w:numPr>
          <w:ilvl w:val="0"/>
          <w:numId w:val="25"/>
        </w:numPr>
        <w:jc w:val="both"/>
        <w:rPr>
          <w:rFonts w:cs="Arial"/>
          <w:szCs w:val="20"/>
        </w:rPr>
      </w:pPr>
      <w:r>
        <w:rPr>
          <w:rFonts w:cs="Arial"/>
          <w:szCs w:val="20"/>
        </w:rPr>
        <w:t>T</w:t>
      </w:r>
      <w:r w:rsidR="00093E39" w:rsidRPr="000676C9">
        <w:rPr>
          <w:rFonts w:cs="Arial"/>
          <w:szCs w:val="20"/>
        </w:rPr>
        <w:t>he structure of the p</w:t>
      </w:r>
      <w:r w:rsidRPr="000676C9">
        <w:rPr>
          <w:rFonts w:cs="Arial"/>
          <w:szCs w:val="20"/>
        </w:rPr>
        <w:t xml:space="preserve">roposed formula </w:t>
      </w:r>
      <w:r w:rsidR="006517BD">
        <w:rPr>
          <w:rFonts w:cs="Arial"/>
          <w:szCs w:val="20"/>
        </w:rPr>
        <w:t xml:space="preserve">should </w:t>
      </w:r>
      <w:r w:rsidRPr="000676C9">
        <w:rPr>
          <w:rFonts w:cs="Arial"/>
          <w:szCs w:val="20"/>
        </w:rPr>
        <w:t xml:space="preserve">be modular, with a standardised functional form. </w:t>
      </w:r>
    </w:p>
    <w:p w14:paraId="2E0931DE" w14:textId="7FB06F72" w:rsidR="000676C9" w:rsidRDefault="000676C9" w:rsidP="000676C9">
      <w:pPr>
        <w:pStyle w:val="ListParagraph"/>
        <w:numPr>
          <w:ilvl w:val="0"/>
          <w:numId w:val="25"/>
        </w:numPr>
        <w:jc w:val="both"/>
        <w:rPr>
          <w:rFonts w:cs="Arial"/>
          <w:szCs w:val="20"/>
        </w:rPr>
      </w:pPr>
      <w:r w:rsidRPr="000676C9">
        <w:rPr>
          <w:rFonts w:cs="Arial"/>
          <w:szCs w:val="20"/>
        </w:rPr>
        <w:t>Each module should represent a source of TMTP a</w:t>
      </w:r>
      <w:r>
        <w:rPr>
          <w:rFonts w:cs="Arial"/>
          <w:szCs w:val="20"/>
        </w:rPr>
        <w:t>s outlined in the working party’s paper on TMTP recalculation</w:t>
      </w:r>
      <w:r w:rsidR="00962FA1">
        <w:rPr>
          <w:rFonts w:cs="Arial"/>
          <w:szCs w:val="20"/>
        </w:rPr>
        <w:t>.</w:t>
      </w:r>
    </w:p>
    <w:p w14:paraId="631B9C71" w14:textId="78A23D83" w:rsidR="000676C9" w:rsidRDefault="000676C9" w:rsidP="000676C9">
      <w:pPr>
        <w:pStyle w:val="ListParagraph"/>
        <w:numPr>
          <w:ilvl w:val="0"/>
          <w:numId w:val="25"/>
        </w:numPr>
        <w:jc w:val="both"/>
        <w:rPr>
          <w:rFonts w:cs="Arial"/>
          <w:szCs w:val="20"/>
        </w:rPr>
      </w:pPr>
      <w:r>
        <w:rPr>
          <w:rFonts w:cs="Arial"/>
          <w:szCs w:val="20"/>
        </w:rPr>
        <w:t>T</w:t>
      </w:r>
      <w:r w:rsidRPr="000676C9">
        <w:rPr>
          <w:rFonts w:cs="Arial"/>
          <w:szCs w:val="20"/>
        </w:rPr>
        <w:t>he inputs into each module would vary depending on what source of the TMTP is being calculated</w:t>
      </w:r>
      <w:r w:rsidR="0057689D">
        <w:rPr>
          <w:rFonts w:cs="Arial"/>
          <w:szCs w:val="20"/>
        </w:rPr>
        <w:t>, s</w:t>
      </w:r>
      <w:r>
        <w:rPr>
          <w:rFonts w:cs="Arial"/>
          <w:szCs w:val="20"/>
        </w:rPr>
        <w:t>ee below for examples</w:t>
      </w:r>
      <w:r w:rsidR="0057689D">
        <w:rPr>
          <w:rFonts w:cs="Arial"/>
          <w:szCs w:val="20"/>
        </w:rPr>
        <w:t>.</w:t>
      </w:r>
    </w:p>
    <w:p w14:paraId="2E7A8F8B" w14:textId="77777777" w:rsidR="000676C9" w:rsidRDefault="000676C9" w:rsidP="00093E39">
      <w:pPr>
        <w:pStyle w:val="ListParagraph"/>
        <w:numPr>
          <w:ilvl w:val="0"/>
          <w:numId w:val="25"/>
        </w:numPr>
        <w:jc w:val="both"/>
        <w:rPr>
          <w:rFonts w:cs="Arial"/>
          <w:szCs w:val="20"/>
        </w:rPr>
      </w:pPr>
      <w:r w:rsidRPr="000676C9">
        <w:rPr>
          <w:rFonts w:cs="Arial"/>
          <w:szCs w:val="20"/>
        </w:rPr>
        <w:t>Where a firm has an immaterial exposure to a particular source of the TMTP t</w:t>
      </w:r>
      <w:r>
        <w:rPr>
          <w:rFonts w:cs="Arial"/>
          <w:szCs w:val="20"/>
        </w:rPr>
        <w:t xml:space="preserve">he relevant module is not required to </w:t>
      </w:r>
      <w:r w:rsidRPr="000676C9">
        <w:rPr>
          <w:rFonts w:cs="Arial"/>
          <w:szCs w:val="20"/>
        </w:rPr>
        <w:t xml:space="preserve">be </w:t>
      </w:r>
      <w:r>
        <w:rPr>
          <w:rFonts w:cs="Arial"/>
          <w:szCs w:val="20"/>
        </w:rPr>
        <w:t>calculated and it contributes zero to the firm’s TMTP.</w:t>
      </w:r>
    </w:p>
    <w:p w14:paraId="43C6F0AD" w14:textId="77777777" w:rsidR="000676C9" w:rsidRDefault="000676C9" w:rsidP="000676C9">
      <w:pPr>
        <w:pStyle w:val="ListParagraph"/>
        <w:ind w:left="360"/>
        <w:jc w:val="both"/>
        <w:rPr>
          <w:rFonts w:cs="Arial"/>
          <w:szCs w:val="20"/>
        </w:rPr>
      </w:pPr>
    </w:p>
    <w:p w14:paraId="573B258A" w14:textId="2C4A395F" w:rsidR="000676C9" w:rsidRDefault="000676C9" w:rsidP="000676C9">
      <w:pPr>
        <w:jc w:val="both"/>
        <w:rPr>
          <w:rFonts w:cs="Arial"/>
          <w:szCs w:val="20"/>
        </w:rPr>
      </w:pPr>
      <w:r>
        <w:rPr>
          <w:rFonts w:cs="Arial"/>
          <w:szCs w:val="20"/>
        </w:rPr>
        <w:t>Further c</w:t>
      </w:r>
      <w:r w:rsidRPr="000676C9">
        <w:rPr>
          <w:rFonts w:cs="Arial"/>
          <w:szCs w:val="20"/>
        </w:rPr>
        <w:t>onsideration is require</w:t>
      </w:r>
      <w:r w:rsidR="00622067">
        <w:rPr>
          <w:rFonts w:cs="Arial"/>
          <w:szCs w:val="20"/>
        </w:rPr>
        <w:t>d</w:t>
      </w:r>
      <w:r w:rsidRPr="000676C9">
        <w:rPr>
          <w:rFonts w:cs="Arial"/>
          <w:szCs w:val="20"/>
        </w:rPr>
        <w:t xml:space="preserve"> as to</w:t>
      </w:r>
      <w:r>
        <w:rPr>
          <w:rFonts w:cs="Arial"/>
          <w:szCs w:val="20"/>
        </w:rPr>
        <w:t>:</w:t>
      </w:r>
    </w:p>
    <w:p w14:paraId="3956FC5D" w14:textId="1B438B06" w:rsidR="00093E39" w:rsidRDefault="000676C9" w:rsidP="000676C9">
      <w:pPr>
        <w:pStyle w:val="ListParagraph"/>
        <w:numPr>
          <w:ilvl w:val="0"/>
          <w:numId w:val="26"/>
        </w:numPr>
        <w:jc w:val="both"/>
        <w:rPr>
          <w:rFonts w:cs="Arial"/>
          <w:szCs w:val="20"/>
        </w:rPr>
      </w:pPr>
      <w:r>
        <w:rPr>
          <w:rFonts w:cs="Arial"/>
          <w:szCs w:val="20"/>
        </w:rPr>
        <w:t>W</w:t>
      </w:r>
      <w:r w:rsidRPr="000676C9">
        <w:rPr>
          <w:rFonts w:cs="Arial"/>
          <w:szCs w:val="20"/>
        </w:rPr>
        <w:t>hether to allow the optionality for firms to apply more accurate methods, where appropriate, in lieu of any or all of this proposed formula</w:t>
      </w:r>
      <w:r>
        <w:rPr>
          <w:rFonts w:cs="Arial"/>
          <w:szCs w:val="20"/>
        </w:rPr>
        <w:t>;</w:t>
      </w:r>
    </w:p>
    <w:p w14:paraId="7F668644" w14:textId="340B677D" w:rsidR="000676C9" w:rsidRPr="000676C9" w:rsidRDefault="000676C9" w:rsidP="000676C9">
      <w:pPr>
        <w:pStyle w:val="ListParagraph"/>
        <w:numPr>
          <w:ilvl w:val="0"/>
          <w:numId w:val="26"/>
        </w:numPr>
        <w:jc w:val="both"/>
        <w:rPr>
          <w:rFonts w:cs="Arial"/>
          <w:szCs w:val="20"/>
        </w:rPr>
      </w:pPr>
      <w:r>
        <w:rPr>
          <w:rFonts w:cs="Arial"/>
          <w:szCs w:val="20"/>
        </w:rPr>
        <w:t>Whether an alternative method or structure of formula to that outlined above should be adopted?</w:t>
      </w:r>
    </w:p>
    <w:p w14:paraId="1999B8E6" w14:textId="77777777" w:rsidR="00093E39" w:rsidRDefault="00093E39" w:rsidP="00093E39">
      <w:pPr>
        <w:jc w:val="both"/>
        <w:rPr>
          <w:rFonts w:cs="Arial"/>
          <w:b/>
          <w:szCs w:val="20"/>
        </w:rPr>
      </w:pPr>
    </w:p>
    <w:p w14:paraId="42DDF4C3" w14:textId="0CBFA934" w:rsidR="000676C9" w:rsidRDefault="00C838CB" w:rsidP="00093E39">
      <w:pPr>
        <w:jc w:val="both"/>
        <w:rPr>
          <w:rFonts w:cs="Arial"/>
          <w:szCs w:val="20"/>
          <w:u w:val="single"/>
        </w:rPr>
      </w:pPr>
      <w:r>
        <w:rPr>
          <w:rFonts w:cs="Arial"/>
          <w:szCs w:val="20"/>
          <w:u w:val="single"/>
        </w:rPr>
        <w:t>Unrestricted TMTP e</w:t>
      </w:r>
      <w:r w:rsidR="000676C9" w:rsidRPr="000676C9">
        <w:rPr>
          <w:rFonts w:cs="Arial"/>
          <w:szCs w:val="20"/>
          <w:u w:val="single"/>
        </w:rPr>
        <w:t>xample</w:t>
      </w:r>
    </w:p>
    <w:p w14:paraId="3805B83B" w14:textId="4EB51A46" w:rsidR="00F16740" w:rsidRDefault="00F16740" w:rsidP="00093E39">
      <w:pPr>
        <w:jc w:val="both"/>
        <w:rPr>
          <w:rFonts w:cs="Arial"/>
          <w:szCs w:val="20"/>
        </w:rPr>
      </w:pPr>
      <w:r w:rsidRPr="00EC498C">
        <w:rPr>
          <w:rFonts w:cs="Arial"/>
          <w:szCs w:val="20"/>
        </w:rPr>
        <w:t xml:space="preserve">The following is a prescriptive example of the structure of </w:t>
      </w:r>
      <w:r>
        <w:rPr>
          <w:rFonts w:cs="Arial"/>
          <w:szCs w:val="20"/>
        </w:rPr>
        <w:t xml:space="preserve">a formula for </w:t>
      </w:r>
      <w:r w:rsidRPr="00EC498C">
        <w:rPr>
          <w:rFonts w:cs="Arial"/>
          <w:szCs w:val="20"/>
        </w:rPr>
        <w:t>unrestricted TMTP</w:t>
      </w:r>
      <w:r>
        <w:rPr>
          <w:rFonts w:cs="Arial"/>
          <w:szCs w:val="20"/>
        </w:rPr>
        <w:t>.  This formula is similar in format to the one proposed by the PRA and ABI working group, with the key differences being the inclusion of additional terms to allow for all differences in the unrestricted TMTP identified by the working party in their published TMTP recalculation paper.</w:t>
      </w:r>
    </w:p>
    <w:p w14:paraId="203D3D80" w14:textId="107731FF" w:rsidR="00F16740" w:rsidRDefault="00F16740" w:rsidP="00093E39">
      <w:pPr>
        <w:jc w:val="both"/>
        <w:rPr>
          <w:rFonts w:cs="Arial"/>
          <w:szCs w:val="20"/>
        </w:rPr>
      </w:pPr>
      <w:r>
        <w:rPr>
          <w:rFonts w:cs="Arial"/>
          <w:szCs w:val="20"/>
        </w:rPr>
        <w:t xml:space="preserve">It is envisaged that similar formulas are </w:t>
      </w:r>
      <w:r w:rsidR="006C18F5">
        <w:rPr>
          <w:rFonts w:cs="Arial"/>
          <w:szCs w:val="20"/>
        </w:rPr>
        <w:t>considered</w:t>
      </w:r>
      <w:r>
        <w:rPr>
          <w:rFonts w:cs="Arial"/>
          <w:szCs w:val="20"/>
        </w:rPr>
        <w:t xml:space="preserve"> for the Solvency I Pillar I FRR and the Solvency I Pillar II FRR.</w:t>
      </w:r>
    </w:p>
    <w:p w14:paraId="715E6E29" w14:textId="54475006" w:rsidR="00F16740" w:rsidRPr="00EC498C" w:rsidRDefault="00F16740" w:rsidP="00093E39">
      <w:pPr>
        <w:jc w:val="both"/>
        <w:rPr>
          <w:rFonts w:cs="Arial"/>
          <w:szCs w:val="20"/>
        </w:rPr>
      </w:pPr>
      <w:r>
        <w:rPr>
          <w:rFonts w:cs="Arial"/>
          <w:szCs w:val="20"/>
        </w:rPr>
        <w:t>It should be noted that the final standardised approach may choose to ignore some of these differences if they were deemed to be immaterial by firms.</w:t>
      </w:r>
    </w:p>
    <w:p w14:paraId="04C73CD0" w14:textId="2F2714A7" w:rsidR="00093E39" w:rsidRDefault="000676C9" w:rsidP="00093E39">
      <w:pPr>
        <w:jc w:val="both"/>
        <w:rPr>
          <w:rFonts w:cs="Arial"/>
          <w:szCs w:val="20"/>
        </w:rPr>
      </w:pPr>
      <w:r w:rsidRPr="000676C9">
        <w:rPr>
          <w:rFonts w:cs="Arial"/>
          <w:szCs w:val="20"/>
        </w:rPr>
        <w:t>For the ca</w:t>
      </w:r>
      <w:r>
        <w:rPr>
          <w:rFonts w:cs="Arial"/>
          <w:szCs w:val="20"/>
        </w:rPr>
        <w:t xml:space="preserve">lculation the unrestricted TMTP </w:t>
      </w:r>
      <w:r w:rsidR="00C838CB">
        <w:rPr>
          <w:rFonts w:cs="Arial"/>
          <w:szCs w:val="20"/>
        </w:rPr>
        <w:t xml:space="preserve">at time t </w:t>
      </w:r>
      <w:r>
        <w:rPr>
          <w:rFonts w:cs="Arial"/>
          <w:szCs w:val="20"/>
        </w:rPr>
        <w:t>could consist of the following modules</w:t>
      </w:r>
    </w:p>
    <w:p w14:paraId="2F61C15F" w14:textId="1C0D48F5" w:rsidR="000676C9" w:rsidRDefault="000676C9" w:rsidP="00C838CB">
      <w:pPr>
        <w:ind w:left="720"/>
        <w:jc w:val="both"/>
        <w:rPr>
          <w:rFonts w:cs="Arial"/>
          <w:szCs w:val="20"/>
        </w:rPr>
      </w:pPr>
      <w:r>
        <w:rPr>
          <w:rFonts w:cs="Arial"/>
          <w:szCs w:val="20"/>
        </w:rPr>
        <w:t xml:space="preserve">Unrestricted TMTP (at time t) </w:t>
      </w:r>
      <w:r>
        <w:rPr>
          <w:rFonts w:cs="Arial"/>
          <w:szCs w:val="20"/>
        </w:rPr>
        <w:tab/>
      </w:r>
      <w:r>
        <w:rPr>
          <w:rFonts w:cs="Arial"/>
          <w:szCs w:val="20"/>
        </w:rPr>
        <w:tab/>
      </w:r>
      <w:r>
        <w:rPr>
          <w:rFonts w:cs="Arial"/>
          <w:szCs w:val="20"/>
        </w:rPr>
        <w:tab/>
      </w:r>
      <w:r>
        <w:rPr>
          <w:rFonts w:cs="Arial"/>
          <w:szCs w:val="20"/>
        </w:rPr>
        <w:tab/>
      </w:r>
      <w:r w:rsidR="00C838CB">
        <w:rPr>
          <w:rFonts w:cs="Arial"/>
          <w:szCs w:val="20"/>
        </w:rPr>
        <w:tab/>
      </w:r>
      <w:r w:rsidR="00C838CB">
        <w:rPr>
          <w:rFonts w:cs="Arial"/>
          <w:szCs w:val="20"/>
        </w:rPr>
        <w:tab/>
      </w:r>
      <w:r w:rsidR="00C838CB">
        <w:rPr>
          <w:rFonts w:cs="Arial"/>
          <w:szCs w:val="20"/>
        </w:rPr>
        <w:tab/>
      </w:r>
      <w:r w:rsidR="00C838CB">
        <w:rPr>
          <w:rFonts w:cs="Arial"/>
          <w:szCs w:val="20"/>
        </w:rPr>
        <w:tab/>
      </w:r>
      <w:r>
        <w:rPr>
          <w:rFonts w:cs="Arial"/>
          <w:szCs w:val="20"/>
        </w:rPr>
        <w:t xml:space="preserve">= </w:t>
      </w:r>
    </w:p>
    <w:p w14:paraId="57CBF15B" w14:textId="2D793AE8" w:rsidR="000676C9" w:rsidRDefault="000676C9" w:rsidP="00C838CB">
      <w:pPr>
        <w:ind w:left="720"/>
        <w:jc w:val="both"/>
        <w:rPr>
          <w:rFonts w:cs="Arial"/>
          <w:szCs w:val="20"/>
        </w:rPr>
      </w:pPr>
      <w:r>
        <w:rPr>
          <w:rFonts w:cs="Arial"/>
          <w:szCs w:val="20"/>
        </w:rPr>
        <w:t xml:space="preserve">TMTP risk margin (t) </w:t>
      </w:r>
      <w:r w:rsidR="00C838CB">
        <w:rPr>
          <w:rFonts w:cs="Arial"/>
          <w:szCs w:val="20"/>
        </w:rPr>
        <w:t>module</w:t>
      </w:r>
      <w:r>
        <w:rPr>
          <w:rFonts w:cs="Arial"/>
          <w:szCs w:val="20"/>
        </w:rPr>
        <w:tab/>
      </w:r>
      <w:r>
        <w:rPr>
          <w:rFonts w:cs="Arial"/>
          <w:szCs w:val="20"/>
        </w:rPr>
        <w:tab/>
      </w:r>
      <w:r>
        <w:rPr>
          <w:rFonts w:cs="Arial"/>
          <w:szCs w:val="20"/>
        </w:rPr>
        <w:tab/>
      </w:r>
      <w:r>
        <w:rPr>
          <w:rFonts w:cs="Arial"/>
          <w:szCs w:val="20"/>
        </w:rPr>
        <w:tab/>
      </w:r>
      <w:r>
        <w:rPr>
          <w:rFonts w:cs="Arial"/>
          <w:szCs w:val="20"/>
        </w:rPr>
        <w:tab/>
      </w:r>
      <w:r w:rsidR="00C838CB">
        <w:rPr>
          <w:rFonts w:cs="Arial"/>
          <w:szCs w:val="20"/>
        </w:rPr>
        <w:tab/>
      </w:r>
      <w:r w:rsidR="00C838CB">
        <w:rPr>
          <w:rFonts w:cs="Arial"/>
          <w:szCs w:val="20"/>
        </w:rPr>
        <w:tab/>
      </w:r>
      <w:r w:rsidR="00C838CB">
        <w:rPr>
          <w:rFonts w:cs="Arial"/>
          <w:szCs w:val="20"/>
        </w:rPr>
        <w:tab/>
      </w:r>
      <w:r>
        <w:rPr>
          <w:rFonts w:cs="Arial"/>
          <w:szCs w:val="20"/>
        </w:rPr>
        <w:t>+</w:t>
      </w:r>
    </w:p>
    <w:p w14:paraId="2BCCD3C3" w14:textId="3CA1BF2D" w:rsidR="000676C9" w:rsidRDefault="000676C9" w:rsidP="00C838CB">
      <w:pPr>
        <w:ind w:left="720"/>
        <w:jc w:val="both"/>
        <w:rPr>
          <w:rFonts w:cs="Arial"/>
          <w:szCs w:val="20"/>
        </w:rPr>
      </w:pPr>
      <w:r>
        <w:rPr>
          <w:rFonts w:cs="Arial"/>
          <w:szCs w:val="20"/>
        </w:rPr>
        <w:t>TMTP contract boundaries (t)</w:t>
      </w:r>
      <w:r w:rsidR="00C838CB">
        <w:rPr>
          <w:rFonts w:cs="Arial"/>
          <w:szCs w:val="20"/>
        </w:rPr>
        <w:t xml:space="preserve"> module</w:t>
      </w:r>
      <w:r>
        <w:rPr>
          <w:rFonts w:cs="Arial"/>
          <w:szCs w:val="20"/>
        </w:rPr>
        <w:tab/>
      </w:r>
      <w:r>
        <w:rPr>
          <w:rFonts w:cs="Arial"/>
          <w:szCs w:val="20"/>
        </w:rPr>
        <w:tab/>
      </w:r>
      <w:r>
        <w:rPr>
          <w:rFonts w:cs="Arial"/>
          <w:szCs w:val="20"/>
        </w:rPr>
        <w:tab/>
      </w:r>
      <w:r>
        <w:rPr>
          <w:rFonts w:cs="Arial"/>
          <w:szCs w:val="20"/>
        </w:rPr>
        <w:tab/>
      </w:r>
      <w:r w:rsidR="00C838CB">
        <w:rPr>
          <w:rFonts w:cs="Arial"/>
          <w:szCs w:val="20"/>
        </w:rPr>
        <w:tab/>
      </w:r>
      <w:r w:rsidR="00C838CB">
        <w:rPr>
          <w:rFonts w:cs="Arial"/>
          <w:szCs w:val="20"/>
        </w:rPr>
        <w:tab/>
      </w:r>
      <w:r w:rsidR="00C838CB">
        <w:rPr>
          <w:rFonts w:cs="Arial"/>
          <w:szCs w:val="20"/>
        </w:rPr>
        <w:tab/>
      </w:r>
      <w:r>
        <w:rPr>
          <w:rFonts w:cs="Arial"/>
          <w:szCs w:val="20"/>
        </w:rPr>
        <w:t>+</w:t>
      </w:r>
    </w:p>
    <w:p w14:paraId="3C028FF1" w14:textId="0644E4E1" w:rsidR="000676C9" w:rsidRDefault="000676C9" w:rsidP="00C838CB">
      <w:pPr>
        <w:ind w:left="720"/>
        <w:jc w:val="both"/>
        <w:rPr>
          <w:rFonts w:cs="Arial"/>
          <w:szCs w:val="20"/>
        </w:rPr>
      </w:pPr>
      <w:r>
        <w:rPr>
          <w:rFonts w:cs="Arial"/>
          <w:szCs w:val="20"/>
        </w:rPr>
        <w:t>TMTP Solvency II MA and Solvency I Pillar II LP</w:t>
      </w:r>
      <w:r>
        <w:rPr>
          <w:rFonts w:cs="Arial"/>
          <w:szCs w:val="20"/>
        </w:rPr>
        <w:tab/>
      </w:r>
      <w:r w:rsidR="00C838CB">
        <w:rPr>
          <w:rFonts w:cs="Arial"/>
          <w:szCs w:val="20"/>
        </w:rPr>
        <w:t xml:space="preserve"> (t) module</w:t>
      </w:r>
      <w:r>
        <w:rPr>
          <w:rFonts w:cs="Arial"/>
          <w:szCs w:val="20"/>
        </w:rPr>
        <w:tab/>
      </w:r>
      <w:r w:rsidR="00C838CB">
        <w:rPr>
          <w:rFonts w:cs="Arial"/>
          <w:szCs w:val="20"/>
        </w:rPr>
        <w:tab/>
      </w:r>
      <w:r w:rsidR="00C838CB">
        <w:rPr>
          <w:rFonts w:cs="Arial"/>
          <w:szCs w:val="20"/>
        </w:rPr>
        <w:tab/>
      </w:r>
      <w:r w:rsidR="00C838CB">
        <w:rPr>
          <w:rFonts w:cs="Arial"/>
          <w:szCs w:val="20"/>
        </w:rPr>
        <w:tab/>
      </w:r>
      <w:r>
        <w:rPr>
          <w:rFonts w:cs="Arial"/>
          <w:szCs w:val="20"/>
        </w:rPr>
        <w:t>+</w:t>
      </w:r>
    </w:p>
    <w:p w14:paraId="114D714B" w14:textId="6EDE8000" w:rsidR="000676C9" w:rsidRDefault="000676C9" w:rsidP="00C838CB">
      <w:pPr>
        <w:ind w:left="720"/>
        <w:jc w:val="both"/>
        <w:rPr>
          <w:rFonts w:cs="Arial"/>
          <w:szCs w:val="20"/>
        </w:rPr>
      </w:pPr>
      <w:r>
        <w:rPr>
          <w:rFonts w:cs="Arial"/>
          <w:szCs w:val="20"/>
        </w:rPr>
        <w:t>TMTP Solvency II VA and Solvency I Pillar II LP</w:t>
      </w:r>
      <w:r>
        <w:rPr>
          <w:rFonts w:cs="Arial"/>
          <w:szCs w:val="20"/>
        </w:rPr>
        <w:tab/>
      </w:r>
      <w:r w:rsidR="00C838CB">
        <w:rPr>
          <w:rFonts w:cs="Arial"/>
          <w:szCs w:val="20"/>
        </w:rPr>
        <w:t>(t)</w:t>
      </w:r>
      <w:r w:rsidR="00C838CB" w:rsidRPr="00C838CB">
        <w:rPr>
          <w:rFonts w:cs="Arial"/>
          <w:szCs w:val="20"/>
        </w:rPr>
        <w:t xml:space="preserve"> </w:t>
      </w:r>
      <w:r w:rsidR="00C838CB">
        <w:rPr>
          <w:rFonts w:cs="Arial"/>
          <w:szCs w:val="20"/>
        </w:rPr>
        <w:t>module</w:t>
      </w:r>
      <w:r w:rsidR="00C838CB">
        <w:rPr>
          <w:rFonts w:cs="Arial"/>
          <w:szCs w:val="20"/>
        </w:rPr>
        <w:tab/>
      </w:r>
      <w:r>
        <w:rPr>
          <w:rFonts w:cs="Arial"/>
          <w:szCs w:val="20"/>
        </w:rPr>
        <w:tab/>
      </w:r>
      <w:r w:rsidR="00C838CB">
        <w:rPr>
          <w:rFonts w:cs="Arial"/>
          <w:szCs w:val="20"/>
        </w:rPr>
        <w:tab/>
      </w:r>
      <w:r w:rsidR="00C838CB">
        <w:rPr>
          <w:rFonts w:cs="Arial"/>
          <w:szCs w:val="20"/>
        </w:rPr>
        <w:tab/>
      </w:r>
      <w:r>
        <w:rPr>
          <w:rFonts w:cs="Arial"/>
          <w:szCs w:val="20"/>
        </w:rPr>
        <w:t>+</w:t>
      </w:r>
    </w:p>
    <w:p w14:paraId="2DDD2031" w14:textId="1F0589DE" w:rsidR="000676C9" w:rsidRDefault="00C838CB" w:rsidP="00C838CB">
      <w:pPr>
        <w:ind w:left="720"/>
        <w:jc w:val="both"/>
        <w:rPr>
          <w:rFonts w:cs="Arial"/>
          <w:szCs w:val="20"/>
        </w:rPr>
      </w:pPr>
      <w:r>
        <w:rPr>
          <w:rFonts w:cs="Arial"/>
          <w:szCs w:val="20"/>
        </w:rPr>
        <w:t>TMTP Solvency II and Solvency I Pillar II other risk free rate difference (t)</w:t>
      </w:r>
      <w:r>
        <w:rPr>
          <w:rFonts w:cs="Arial"/>
          <w:szCs w:val="20"/>
        </w:rPr>
        <w:tab/>
        <w:t xml:space="preserve"> module</w:t>
      </w:r>
      <w:r>
        <w:rPr>
          <w:rFonts w:cs="Arial"/>
          <w:szCs w:val="20"/>
        </w:rPr>
        <w:tab/>
      </w:r>
      <w:r w:rsidR="00BE6AA0">
        <w:rPr>
          <w:rFonts w:cs="Arial"/>
          <w:szCs w:val="20"/>
        </w:rPr>
        <w:tab/>
      </w:r>
      <w:r>
        <w:rPr>
          <w:rFonts w:cs="Arial"/>
          <w:szCs w:val="20"/>
        </w:rPr>
        <w:t>+</w:t>
      </w:r>
    </w:p>
    <w:p w14:paraId="1D7A70D3" w14:textId="3E51AA93" w:rsidR="000676C9" w:rsidRPr="000676C9" w:rsidRDefault="00C838CB" w:rsidP="00C838CB">
      <w:pPr>
        <w:ind w:left="720"/>
        <w:jc w:val="both"/>
        <w:rPr>
          <w:rFonts w:cs="Arial"/>
          <w:szCs w:val="20"/>
        </w:rPr>
      </w:pPr>
      <w:r>
        <w:rPr>
          <w:rFonts w:cs="Arial"/>
          <w:szCs w:val="20"/>
        </w:rPr>
        <w:t>TMTP differences in with-profit</w:t>
      </w:r>
      <w:r w:rsidR="006517BD">
        <w:rPr>
          <w:rFonts w:cs="Arial"/>
          <w:szCs w:val="20"/>
        </w:rPr>
        <w:t>s</w:t>
      </w:r>
      <w:r>
        <w:rPr>
          <w:rFonts w:cs="Arial"/>
          <w:szCs w:val="20"/>
        </w:rPr>
        <w:t xml:space="preserve"> future planned enhancements (t)</w:t>
      </w:r>
      <w:r>
        <w:rPr>
          <w:rFonts w:cs="Arial"/>
          <w:szCs w:val="20"/>
        </w:rPr>
        <w:tab/>
        <w:t xml:space="preserve"> module</w:t>
      </w:r>
      <w:r>
        <w:rPr>
          <w:rFonts w:cs="Arial"/>
          <w:szCs w:val="20"/>
        </w:rPr>
        <w:tab/>
      </w:r>
      <w:r>
        <w:rPr>
          <w:rFonts w:cs="Arial"/>
          <w:szCs w:val="20"/>
        </w:rPr>
        <w:tab/>
      </w:r>
      <w:r>
        <w:rPr>
          <w:rFonts w:cs="Arial"/>
          <w:szCs w:val="20"/>
        </w:rPr>
        <w:tab/>
        <w:t>+</w:t>
      </w:r>
    </w:p>
    <w:p w14:paraId="58BD4E2E" w14:textId="2EB07821" w:rsidR="00C838CB" w:rsidRDefault="00C838CB" w:rsidP="00C838CB">
      <w:pPr>
        <w:ind w:left="720"/>
        <w:jc w:val="both"/>
        <w:rPr>
          <w:rFonts w:cs="Arial"/>
          <w:szCs w:val="20"/>
        </w:rPr>
      </w:pPr>
      <w:r>
        <w:rPr>
          <w:rFonts w:cs="Arial"/>
          <w:szCs w:val="20"/>
        </w:rPr>
        <w:t>TMTP differences in with-profit</w:t>
      </w:r>
      <w:r w:rsidR="006517BD">
        <w:rPr>
          <w:rFonts w:cs="Arial"/>
          <w:szCs w:val="20"/>
        </w:rPr>
        <w:t>s</w:t>
      </w:r>
      <w:r>
        <w:rPr>
          <w:rFonts w:cs="Arial"/>
          <w:szCs w:val="20"/>
        </w:rPr>
        <w:t xml:space="preserve"> future shareholder transfer liabilities (t)</w:t>
      </w:r>
      <w:r w:rsidR="00962FA1">
        <w:rPr>
          <w:rFonts w:cs="Arial"/>
          <w:szCs w:val="20"/>
        </w:rPr>
        <w:t xml:space="preserve"> </w:t>
      </w:r>
      <w:r>
        <w:rPr>
          <w:rFonts w:cs="Arial"/>
          <w:szCs w:val="20"/>
        </w:rPr>
        <w:tab/>
        <w:t>module</w:t>
      </w:r>
      <w:r>
        <w:rPr>
          <w:rFonts w:cs="Arial"/>
          <w:szCs w:val="20"/>
        </w:rPr>
        <w:tab/>
      </w:r>
      <w:r>
        <w:rPr>
          <w:rFonts w:cs="Arial"/>
          <w:szCs w:val="20"/>
        </w:rPr>
        <w:tab/>
        <w:t>+</w:t>
      </w:r>
    </w:p>
    <w:p w14:paraId="6CA0BC19" w14:textId="0D0E14A2" w:rsidR="00C838CB" w:rsidRPr="000676C9" w:rsidRDefault="00C838CB" w:rsidP="00C838CB">
      <w:pPr>
        <w:ind w:left="720"/>
        <w:jc w:val="both"/>
        <w:rPr>
          <w:rFonts w:cs="Arial"/>
          <w:szCs w:val="20"/>
        </w:rPr>
      </w:pPr>
      <w:r>
        <w:rPr>
          <w:rFonts w:cs="Arial"/>
          <w:szCs w:val="20"/>
        </w:rPr>
        <w:lastRenderedPageBreak/>
        <w:t>TMTP differences in expense assumptions (t)</w:t>
      </w:r>
      <w:r w:rsidRPr="00C838CB">
        <w:rPr>
          <w:rFonts w:cs="Arial"/>
          <w:szCs w:val="20"/>
        </w:rPr>
        <w:t xml:space="preserve"> </w:t>
      </w:r>
      <w:r>
        <w:rPr>
          <w:rFonts w:cs="Arial"/>
          <w:szCs w:val="20"/>
        </w:rPr>
        <w:t>module</w:t>
      </w:r>
      <w:r>
        <w:rPr>
          <w:rFonts w:cs="Arial"/>
          <w:szCs w:val="20"/>
        </w:rPr>
        <w:tab/>
      </w:r>
    </w:p>
    <w:p w14:paraId="7E94E25B" w14:textId="77777777" w:rsidR="00C838CB" w:rsidRDefault="00C838CB" w:rsidP="00093E39">
      <w:pPr>
        <w:jc w:val="both"/>
        <w:rPr>
          <w:rFonts w:cs="Arial"/>
          <w:szCs w:val="20"/>
        </w:rPr>
      </w:pPr>
      <w:r>
        <w:rPr>
          <w:rFonts w:cs="Arial"/>
          <w:szCs w:val="20"/>
        </w:rPr>
        <w:t>Noting:</w:t>
      </w:r>
    </w:p>
    <w:p w14:paraId="4C80D063" w14:textId="4329554D" w:rsidR="00093E39" w:rsidRDefault="00C838CB" w:rsidP="00C838CB">
      <w:pPr>
        <w:pStyle w:val="ListParagraph"/>
        <w:numPr>
          <w:ilvl w:val="0"/>
          <w:numId w:val="27"/>
        </w:numPr>
        <w:jc w:val="both"/>
        <w:rPr>
          <w:rFonts w:cs="Arial"/>
          <w:szCs w:val="20"/>
        </w:rPr>
      </w:pPr>
      <w:r>
        <w:rPr>
          <w:rFonts w:cs="Arial"/>
          <w:szCs w:val="20"/>
        </w:rPr>
        <w:t>T</w:t>
      </w:r>
      <w:r w:rsidRPr="00C838CB">
        <w:rPr>
          <w:rFonts w:cs="Arial"/>
          <w:szCs w:val="20"/>
        </w:rPr>
        <w:t xml:space="preserve">he calculation of the unrestricted TMTP only applies to business written prior to </w:t>
      </w:r>
      <w:r>
        <w:rPr>
          <w:rFonts w:cs="Arial"/>
          <w:szCs w:val="20"/>
        </w:rPr>
        <w:t>the introduction of Solvency II, so differs to the FRR test which applies to all business in an undertaking;</w:t>
      </w:r>
    </w:p>
    <w:p w14:paraId="425BD8C3" w14:textId="5092E297" w:rsidR="00C838CB" w:rsidRDefault="00C838CB" w:rsidP="00C838CB">
      <w:pPr>
        <w:pStyle w:val="ListParagraph"/>
        <w:numPr>
          <w:ilvl w:val="0"/>
          <w:numId w:val="27"/>
        </w:numPr>
        <w:jc w:val="both"/>
        <w:rPr>
          <w:rFonts w:cs="Arial"/>
          <w:szCs w:val="20"/>
        </w:rPr>
      </w:pPr>
      <w:r>
        <w:rPr>
          <w:rFonts w:cs="Arial"/>
          <w:szCs w:val="20"/>
        </w:rPr>
        <w:t xml:space="preserve">The </w:t>
      </w:r>
      <w:r w:rsidRPr="00C838CB">
        <w:rPr>
          <w:rFonts w:cs="Arial"/>
          <w:szCs w:val="20"/>
        </w:rPr>
        <w:t>unrestricted TMTP</w:t>
      </w:r>
      <w:r>
        <w:rPr>
          <w:rFonts w:cs="Arial"/>
          <w:szCs w:val="20"/>
        </w:rPr>
        <w:t xml:space="preserve"> may only apply to specific homogeneous risk groups, and so may differ in scope to the FRR test which applies to all business in an undertaking</w:t>
      </w:r>
      <w:r w:rsidR="006517BD">
        <w:rPr>
          <w:rFonts w:cs="Arial"/>
          <w:szCs w:val="20"/>
        </w:rPr>
        <w:t>;</w:t>
      </w:r>
    </w:p>
    <w:p w14:paraId="3197A0E8" w14:textId="1818559F" w:rsidR="006517BD" w:rsidRDefault="006517BD" w:rsidP="00C838CB">
      <w:pPr>
        <w:pStyle w:val="ListParagraph"/>
        <w:numPr>
          <w:ilvl w:val="0"/>
          <w:numId w:val="27"/>
        </w:numPr>
        <w:jc w:val="both"/>
        <w:rPr>
          <w:rFonts w:cs="Arial"/>
          <w:szCs w:val="20"/>
        </w:rPr>
      </w:pPr>
      <w:r>
        <w:rPr>
          <w:rFonts w:cs="Arial"/>
          <w:szCs w:val="20"/>
        </w:rPr>
        <w:t>The approach should allow firms to include bespoke components where these form part of its approved TMTP recalculation methodology.</w:t>
      </w:r>
    </w:p>
    <w:p w14:paraId="2CAD27BB" w14:textId="60B18FD8" w:rsidR="00C838CB" w:rsidRDefault="00C838CB" w:rsidP="00C838CB">
      <w:pPr>
        <w:pStyle w:val="ListParagraph"/>
        <w:ind w:left="770"/>
        <w:jc w:val="both"/>
        <w:rPr>
          <w:rFonts w:cs="Arial"/>
          <w:szCs w:val="20"/>
        </w:rPr>
      </w:pPr>
    </w:p>
    <w:p w14:paraId="4CAEA5C5" w14:textId="18643D51" w:rsidR="00C838CB" w:rsidRDefault="00C838CB" w:rsidP="00EC498C">
      <w:pPr>
        <w:rPr>
          <w:rFonts w:cs="Arial"/>
          <w:szCs w:val="20"/>
        </w:rPr>
      </w:pPr>
      <w:r>
        <w:rPr>
          <w:rFonts w:cs="Arial"/>
          <w:szCs w:val="20"/>
        </w:rPr>
        <w:t xml:space="preserve">The derivation of the TMTP risk margin (t) module could be </w:t>
      </w:r>
      <w:r w:rsidR="00A2471B">
        <w:rPr>
          <w:rFonts w:cs="Arial"/>
          <w:szCs w:val="20"/>
        </w:rPr>
        <w:t>expressed as a function of the following inputs:</w:t>
      </w:r>
    </w:p>
    <w:p w14:paraId="69B23D38" w14:textId="0FAF3253" w:rsidR="00C838CB" w:rsidRDefault="00C838CB" w:rsidP="00C838CB">
      <w:pPr>
        <w:ind w:left="720" w:hanging="720"/>
        <w:jc w:val="both"/>
        <w:rPr>
          <w:rFonts w:cs="Arial"/>
          <w:szCs w:val="20"/>
        </w:rPr>
      </w:pPr>
      <w:r>
        <w:rPr>
          <w:rFonts w:cs="Arial"/>
          <w:szCs w:val="20"/>
        </w:rPr>
        <w:tab/>
        <w:t>TMTP risk margin</w:t>
      </w:r>
      <w:r w:rsidR="00A2471B">
        <w:rPr>
          <w:rFonts w:cs="Arial"/>
          <w:szCs w:val="20"/>
        </w:rPr>
        <w:t xml:space="preserve"> at time </w:t>
      </w:r>
      <w:r>
        <w:rPr>
          <w:rFonts w:cs="Arial"/>
          <w:szCs w:val="20"/>
        </w:rPr>
        <w:t xml:space="preserve">t – 1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p>
    <w:p w14:paraId="1BFAC23F" w14:textId="6C30FF32" w:rsidR="00C838CB" w:rsidRDefault="00C838CB" w:rsidP="00C838CB">
      <w:pPr>
        <w:ind w:firstLine="720"/>
        <w:jc w:val="both"/>
        <w:rPr>
          <w:rFonts w:cs="Arial"/>
          <w:szCs w:val="20"/>
        </w:rPr>
      </w:pPr>
      <w:r>
        <w:rPr>
          <w:rFonts w:cs="Arial"/>
          <w:szCs w:val="20"/>
        </w:rPr>
        <w:t>Expected run off of TMTP from t-1 to t</w:t>
      </w:r>
      <w:r>
        <w:rPr>
          <w:rFonts w:cs="Arial"/>
          <w:szCs w:val="20"/>
        </w:rPr>
        <w:tab/>
      </w:r>
      <w:r>
        <w:rPr>
          <w:rFonts w:cs="Arial"/>
          <w:szCs w:val="20"/>
        </w:rPr>
        <w:tab/>
      </w:r>
      <w:r>
        <w:rPr>
          <w:rFonts w:cs="Arial"/>
          <w:szCs w:val="20"/>
        </w:rPr>
        <w:tab/>
      </w:r>
    </w:p>
    <w:p w14:paraId="78772667" w14:textId="4EDB911B" w:rsidR="00C838CB" w:rsidRDefault="00C838CB" w:rsidP="00C838CB">
      <w:pPr>
        <w:ind w:firstLine="720"/>
        <w:jc w:val="both"/>
        <w:rPr>
          <w:rFonts w:cs="Arial"/>
          <w:szCs w:val="20"/>
        </w:rPr>
      </w:pPr>
      <w:r>
        <w:rPr>
          <w:rFonts w:cs="Arial"/>
          <w:szCs w:val="20"/>
        </w:rPr>
        <w:t>Change in interest rates from time t-1 to time t</w:t>
      </w:r>
      <w:r>
        <w:rPr>
          <w:rFonts w:cs="Arial"/>
          <w:szCs w:val="20"/>
        </w:rPr>
        <w:tab/>
      </w:r>
      <w:r>
        <w:rPr>
          <w:rFonts w:cs="Arial"/>
          <w:szCs w:val="20"/>
        </w:rPr>
        <w:tab/>
      </w:r>
      <w:r>
        <w:rPr>
          <w:rFonts w:cs="Arial"/>
          <w:szCs w:val="20"/>
        </w:rPr>
        <w:tab/>
      </w:r>
      <w:r>
        <w:rPr>
          <w:rFonts w:cs="Arial"/>
          <w:szCs w:val="20"/>
        </w:rPr>
        <w:tab/>
      </w:r>
    </w:p>
    <w:p w14:paraId="0D339494" w14:textId="77777777" w:rsidR="00A2471B" w:rsidRDefault="00C838CB" w:rsidP="00C838CB">
      <w:pPr>
        <w:ind w:firstLine="720"/>
        <w:jc w:val="both"/>
        <w:rPr>
          <w:rFonts w:cs="Arial"/>
          <w:szCs w:val="20"/>
        </w:rPr>
      </w:pPr>
      <w:r>
        <w:rPr>
          <w:rFonts w:cs="Arial"/>
          <w:szCs w:val="20"/>
        </w:rPr>
        <w:t>Duration of the risk margin at time t-1</w:t>
      </w:r>
      <w:r>
        <w:rPr>
          <w:rFonts w:cs="Arial"/>
          <w:szCs w:val="20"/>
        </w:rPr>
        <w:tab/>
      </w:r>
    </w:p>
    <w:p w14:paraId="00F0F873" w14:textId="51243B86" w:rsidR="00A2471B" w:rsidRDefault="00A2471B" w:rsidP="00C838CB">
      <w:pPr>
        <w:ind w:firstLine="720"/>
        <w:jc w:val="both"/>
        <w:rPr>
          <w:rFonts w:cs="Arial"/>
          <w:szCs w:val="20"/>
        </w:rPr>
      </w:pPr>
      <w:r>
        <w:rPr>
          <w:rFonts w:cs="Arial"/>
          <w:szCs w:val="20"/>
        </w:rPr>
        <w:t xml:space="preserve">Changes in </w:t>
      </w:r>
      <w:r w:rsidR="00231E3C">
        <w:rPr>
          <w:rFonts w:cs="Arial"/>
          <w:szCs w:val="20"/>
        </w:rPr>
        <w:t xml:space="preserve">material </w:t>
      </w:r>
      <w:r>
        <w:rPr>
          <w:rFonts w:cs="Arial"/>
          <w:szCs w:val="20"/>
        </w:rPr>
        <w:t>assumption and calibrations over the period t-1 and t</w:t>
      </w:r>
    </w:p>
    <w:p w14:paraId="2B40EF6D" w14:textId="031ED0B7" w:rsidR="0057689D" w:rsidRDefault="0057689D" w:rsidP="0057689D">
      <w:pPr>
        <w:jc w:val="both"/>
        <w:rPr>
          <w:rFonts w:cs="Arial"/>
          <w:szCs w:val="20"/>
        </w:rPr>
      </w:pPr>
      <w:r>
        <w:rPr>
          <w:rFonts w:cs="Arial"/>
          <w:szCs w:val="20"/>
        </w:rPr>
        <w:t>However, a proportionate approach to determining the risk margin for business in-force at Solvency II go-live at time (t) will depend on the individual circumstances of the firm and so it</w:t>
      </w:r>
      <w:r w:rsidR="00A2471B">
        <w:rPr>
          <w:rFonts w:cs="Arial"/>
          <w:szCs w:val="20"/>
        </w:rPr>
        <w:t xml:space="preserve"> is apparent that the deriving of such a formula, including ensuring it is sufficiently robust would require a significant amount of industry, PRA and </w:t>
      </w:r>
      <w:proofErr w:type="spellStart"/>
      <w:r w:rsidR="00A2471B">
        <w:rPr>
          <w:rFonts w:cs="Arial"/>
          <w:szCs w:val="20"/>
        </w:rPr>
        <w:t>IFoA</w:t>
      </w:r>
      <w:proofErr w:type="spellEnd"/>
      <w:r w:rsidR="00A2471B">
        <w:rPr>
          <w:rFonts w:cs="Arial"/>
          <w:szCs w:val="20"/>
        </w:rPr>
        <w:t xml:space="preserve"> working party effort.  It should be considered whether this effort is proportionate to the benefits of a simplified TMTP calculation method</w:t>
      </w:r>
      <w:r>
        <w:rPr>
          <w:rFonts w:cs="Arial"/>
          <w:szCs w:val="20"/>
        </w:rPr>
        <w:t xml:space="preserve"> and as such could be left to individual firms to propose how to recalculate the risk margin.</w:t>
      </w:r>
    </w:p>
    <w:p w14:paraId="36CB0C25" w14:textId="77777777" w:rsidR="00A2471B" w:rsidRDefault="00A2471B" w:rsidP="00ED72E6">
      <w:pPr>
        <w:jc w:val="both"/>
        <w:rPr>
          <w:rFonts w:cs="Arial"/>
          <w:szCs w:val="20"/>
        </w:rPr>
      </w:pPr>
    </w:p>
    <w:p w14:paraId="07748F7E" w14:textId="5039B533" w:rsidR="00532D07" w:rsidRDefault="00532D07" w:rsidP="00532D07">
      <w:pPr>
        <w:pStyle w:val="ListParagraph"/>
        <w:numPr>
          <w:ilvl w:val="0"/>
          <w:numId w:val="19"/>
        </w:numPr>
        <w:jc w:val="both"/>
        <w:rPr>
          <w:rFonts w:cs="Arial"/>
          <w:b/>
          <w:szCs w:val="20"/>
        </w:rPr>
      </w:pPr>
      <w:r w:rsidRPr="00532D07">
        <w:rPr>
          <w:rFonts w:cs="Arial"/>
          <w:b/>
          <w:szCs w:val="20"/>
        </w:rPr>
        <w:t xml:space="preserve">What should the inputs into the </w:t>
      </w:r>
      <w:r w:rsidR="00CF587F" w:rsidRPr="00ED72E6">
        <w:rPr>
          <w:rFonts w:cs="Arial"/>
          <w:b/>
          <w:szCs w:val="20"/>
        </w:rPr>
        <w:t>published simplifications</w:t>
      </w:r>
      <w:r w:rsidR="00CF587F">
        <w:rPr>
          <w:rFonts w:cs="Arial"/>
          <w:szCs w:val="20"/>
        </w:rPr>
        <w:t xml:space="preserve"> </w:t>
      </w:r>
      <w:r w:rsidRPr="00532D07">
        <w:rPr>
          <w:rFonts w:cs="Arial"/>
          <w:b/>
          <w:szCs w:val="20"/>
        </w:rPr>
        <w:t>be?</w:t>
      </w:r>
    </w:p>
    <w:p w14:paraId="7460A126" w14:textId="77777777" w:rsidR="00A2471B" w:rsidRPr="00A2471B" w:rsidRDefault="00A2471B" w:rsidP="00FB208E">
      <w:pPr>
        <w:spacing w:after="0"/>
        <w:jc w:val="both"/>
        <w:rPr>
          <w:rFonts w:cs="Arial"/>
          <w:szCs w:val="20"/>
        </w:rPr>
      </w:pPr>
    </w:p>
    <w:p w14:paraId="20ABB51D" w14:textId="1128763D" w:rsidR="00A2471B" w:rsidRDefault="00A2471B" w:rsidP="00A2471B">
      <w:pPr>
        <w:jc w:val="both"/>
        <w:rPr>
          <w:rFonts w:cs="Arial"/>
          <w:szCs w:val="20"/>
        </w:rPr>
      </w:pPr>
      <w:r w:rsidRPr="00A2471B">
        <w:rPr>
          <w:rFonts w:cs="Arial"/>
          <w:szCs w:val="20"/>
        </w:rPr>
        <w:t>The i</w:t>
      </w:r>
      <w:r>
        <w:rPr>
          <w:rFonts w:cs="Arial"/>
          <w:szCs w:val="20"/>
        </w:rPr>
        <w:t xml:space="preserve">nputs should be </w:t>
      </w:r>
      <w:r w:rsidR="00BE6AA0">
        <w:rPr>
          <w:rFonts w:cs="Arial"/>
          <w:szCs w:val="20"/>
        </w:rPr>
        <w:t xml:space="preserve">readily available and not overly onerous to derive.  If the </w:t>
      </w:r>
      <w:r w:rsidR="00CF587F">
        <w:rPr>
          <w:rFonts w:cs="Arial"/>
          <w:szCs w:val="20"/>
        </w:rPr>
        <w:t xml:space="preserve">published simplification </w:t>
      </w:r>
      <w:r w:rsidR="00BE6AA0">
        <w:rPr>
          <w:rFonts w:cs="Arial"/>
          <w:szCs w:val="20"/>
        </w:rPr>
        <w:t xml:space="preserve">is </w:t>
      </w:r>
      <w:r w:rsidR="00622067">
        <w:rPr>
          <w:rFonts w:cs="Arial"/>
          <w:szCs w:val="20"/>
        </w:rPr>
        <w:t>simple</w:t>
      </w:r>
      <w:r w:rsidR="00BE6AA0">
        <w:rPr>
          <w:rFonts w:cs="Arial"/>
          <w:szCs w:val="20"/>
        </w:rPr>
        <w:t>, but the inputs onerous to derive this would be contrary to the overall aims of the TMTP simplification project.</w:t>
      </w:r>
    </w:p>
    <w:p w14:paraId="4C75621A" w14:textId="3BB5F9D4" w:rsidR="00FB208E" w:rsidRDefault="00FB208E" w:rsidP="00FB208E">
      <w:pPr>
        <w:jc w:val="both"/>
        <w:rPr>
          <w:rFonts w:cs="Arial"/>
          <w:szCs w:val="20"/>
        </w:rPr>
      </w:pPr>
      <w:r w:rsidRPr="00FB208E">
        <w:rPr>
          <w:rFonts w:cs="Arial"/>
          <w:szCs w:val="20"/>
        </w:rPr>
        <w:t>The</w:t>
      </w:r>
      <w:r>
        <w:rPr>
          <w:rFonts w:cs="Arial"/>
          <w:szCs w:val="20"/>
        </w:rPr>
        <w:t xml:space="preserve"> inputs should intuitively capture factors which change the value of the TMTP.  For example key economic indicators like the level of interest rates or the level </w:t>
      </w:r>
      <w:r w:rsidR="00622067">
        <w:rPr>
          <w:rFonts w:cs="Arial"/>
          <w:szCs w:val="20"/>
        </w:rPr>
        <w:t xml:space="preserve">of </w:t>
      </w:r>
      <w:r>
        <w:rPr>
          <w:rFonts w:cs="Arial"/>
          <w:szCs w:val="20"/>
        </w:rPr>
        <w:t>credit spreads.</w:t>
      </w:r>
    </w:p>
    <w:p w14:paraId="66725D62" w14:textId="77777777" w:rsidR="00FB208E" w:rsidRPr="00A2471B" w:rsidRDefault="00FB208E" w:rsidP="00A2471B">
      <w:pPr>
        <w:jc w:val="both"/>
        <w:rPr>
          <w:rFonts w:cs="Arial"/>
          <w:szCs w:val="20"/>
        </w:rPr>
      </w:pPr>
    </w:p>
    <w:p w14:paraId="3F434B3B" w14:textId="77777777" w:rsidR="00532D07" w:rsidRDefault="00532D07" w:rsidP="00532D07">
      <w:pPr>
        <w:pStyle w:val="ListParagraph"/>
        <w:numPr>
          <w:ilvl w:val="0"/>
          <w:numId w:val="19"/>
        </w:numPr>
        <w:jc w:val="both"/>
        <w:rPr>
          <w:rFonts w:cs="Arial"/>
          <w:b/>
          <w:szCs w:val="20"/>
        </w:rPr>
      </w:pPr>
      <w:r w:rsidRPr="00532D07">
        <w:rPr>
          <w:rFonts w:cs="Arial"/>
          <w:b/>
          <w:szCs w:val="20"/>
        </w:rPr>
        <w:t>Are these inputs entirely derived in advance or should they be monitored and change over time?</w:t>
      </w:r>
    </w:p>
    <w:p w14:paraId="455AC7BE" w14:textId="77777777" w:rsidR="00FB208E" w:rsidRDefault="00FB208E" w:rsidP="000B73A9">
      <w:pPr>
        <w:spacing w:after="0"/>
        <w:jc w:val="both"/>
        <w:rPr>
          <w:rFonts w:cs="Arial"/>
          <w:szCs w:val="20"/>
        </w:rPr>
      </w:pPr>
    </w:p>
    <w:p w14:paraId="4E8494FF" w14:textId="660479E0" w:rsidR="00FB208E" w:rsidRDefault="00FB208E" w:rsidP="00FB208E">
      <w:pPr>
        <w:jc w:val="both"/>
        <w:rPr>
          <w:rFonts w:cs="Arial"/>
          <w:szCs w:val="20"/>
        </w:rPr>
      </w:pPr>
      <w:r w:rsidRPr="00FB208E">
        <w:rPr>
          <w:rFonts w:cs="Arial"/>
          <w:szCs w:val="20"/>
        </w:rPr>
        <w:t xml:space="preserve">Ideally the </w:t>
      </w:r>
      <w:r w:rsidR="00AA5F18">
        <w:rPr>
          <w:rFonts w:cs="Arial"/>
          <w:szCs w:val="20"/>
        </w:rPr>
        <w:t>derivation</w:t>
      </w:r>
      <w:r w:rsidR="00AA5F18" w:rsidRPr="00FB208E">
        <w:rPr>
          <w:rFonts w:cs="Arial"/>
          <w:szCs w:val="20"/>
        </w:rPr>
        <w:t xml:space="preserve"> </w:t>
      </w:r>
      <w:r w:rsidRPr="00FB208E">
        <w:rPr>
          <w:rFonts w:cs="Arial"/>
          <w:szCs w:val="20"/>
        </w:rPr>
        <w:t>of the inputs and structure of the</w:t>
      </w:r>
      <w:r w:rsidR="00CF587F" w:rsidRPr="00CF587F">
        <w:t xml:space="preserve"> </w:t>
      </w:r>
      <w:r w:rsidR="00CF587F" w:rsidRPr="00CF587F">
        <w:rPr>
          <w:rFonts w:cs="Arial"/>
          <w:szCs w:val="20"/>
        </w:rPr>
        <w:t>published simplifications</w:t>
      </w:r>
      <w:r w:rsidR="00CF587F" w:rsidRPr="00CF587F" w:rsidDel="00CF587F">
        <w:rPr>
          <w:rFonts w:cs="Arial"/>
          <w:szCs w:val="20"/>
        </w:rPr>
        <w:t xml:space="preserve"> </w:t>
      </w:r>
      <w:r w:rsidRPr="00FB208E">
        <w:rPr>
          <w:rFonts w:cs="Arial"/>
          <w:szCs w:val="20"/>
        </w:rPr>
        <w:t>should be undertaken once and not continually recalculated.  Continual recalibration of these inputs would be contrary to the overall aims of the TMTP simplification project.</w:t>
      </w:r>
    </w:p>
    <w:p w14:paraId="6F368823" w14:textId="6CD48BC0" w:rsidR="00CF587F" w:rsidRDefault="00CF587F">
      <w:pPr>
        <w:rPr>
          <w:rFonts w:cs="Arial"/>
          <w:szCs w:val="20"/>
        </w:rPr>
      </w:pPr>
      <w:r>
        <w:rPr>
          <w:rFonts w:cs="Arial"/>
          <w:szCs w:val="20"/>
        </w:rPr>
        <w:br w:type="page"/>
      </w:r>
    </w:p>
    <w:p w14:paraId="3ED95B74" w14:textId="0DFC4086" w:rsidR="00FB208E" w:rsidRDefault="00532D07" w:rsidP="00CF587F">
      <w:pPr>
        <w:pStyle w:val="ListParagraph"/>
        <w:numPr>
          <w:ilvl w:val="0"/>
          <w:numId w:val="19"/>
        </w:numPr>
        <w:jc w:val="both"/>
        <w:rPr>
          <w:rFonts w:cs="Arial"/>
          <w:b/>
          <w:szCs w:val="20"/>
        </w:rPr>
      </w:pPr>
      <w:r w:rsidRPr="00532D07">
        <w:rPr>
          <w:rFonts w:cs="Arial"/>
          <w:b/>
          <w:szCs w:val="20"/>
        </w:rPr>
        <w:lastRenderedPageBreak/>
        <w:t xml:space="preserve">What do transformations in company structure or management actions do to the </w:t>
      </w:r>
      <w:r w:rsidR="00CF587F" w:rsidRPr="00CF587F">
        <w:rPr>
          <w:rFonts w:cs="Arial"/>
          <w:b/>
          <w:szCs w:val="20"/>
        </w:rPr>
        <w:t>published simplifications</w:t>
      </w:r>
      <w:r w:rsidR="00CF587F" w:rsidRPr="00CF587F" w:rsidDel="00CF587F">
        <w:rPr>
          <w:rFonts w:cs="Arial"/>
          <w:b/>
          <w:szCs w:val="20"/>
        </w:rPr>
        <w:t xml:space="preserve"> </w:t>
      </w:r>
      <w:r w:rsidRPr="00532D07">
        <w:rPr>
          <w:rFonts w:cs="Arial"/>
          <w:b/>
          <w:szCs w:val="20"/>
        </w:rPr>
        <w:t>or inputs into the</w:t>
      </w:r>
      <w:r w:rsidR="00CF587F" w:rsidRPr="00CF587F">
        <w:t xml:space="preserve"> </w:t>
      </w:r>
      <w:r w:rsidR="00CF587F" w:rsidRPr="00CF587F">
        <w:rPr>
          <w:rFonts w:cs="Arial"/>
          <w:b/>
          <w:szCs w:val="20"/>
        </w:rPr>
        <w:t>published simplifications</w:t>
      </w:r>
      <w:r w:rsidRPr="00532D07">
        <w:rPr>
          <w:rFonts w:cs="Arial"/>
          <w:b/>
          <w:szCs w:val="20"/>
        </w:rPr>
        <w:t>?</w:t>
      </w:r>
    </w:p>
    <w:p w14:paraId="3F8F041E" w14:textId="77777777" w:rsidR="00FB208E" w:rsidRDefault="00FB208E" w:rsidP="00FB208E">
      <w:pPr>
        <w:spacing w:after="0"/>
        <w:jc w:val="both"/>
        <w:rPr>
          <w:rFonts w:cs="Arial"/>
          <w:b/>
          <w:szCs w:val="20"/>
        </w:rPr>
      </w:pPr>
    </w:p>
    <w:p w14:paraId="20A7E734" w14:textId="46523B64" w:rsidR="00FB208E" w:rsidRDefault="00FB208E" w:rsidP="00FB208E">
      <w:pPr>
        <w:jc w:val="both"/>
        <w:rPr>
          <w:rFonts w:cs="Arial"/>
          <w:szCs w:val="20"/>
        </w:rPr>
      </w:pPr>
      <w:r>
        <w:rPr>
          <w:rFonts w:cs="Arial"/>
          <w:szCs w:val="20"/>
        </w:rPr>
        <w:t>If a company choose</w:t>
      </w:r>
      <w:r w:rsidR="00CF587F">
        <w:rPr>
          <w:rFonts w:cs="Arial"/>
          <w:szCs w:val="20"/>
        </w:rPr>
        <w:t>s</w:t>
      </w:r>
      <w:r>
        <w:rPr>
          <w:rFonts w:cs="Arial"/>
          <w:szCs w:val="20"/>
        </w:rPr>
        <w:t xml:space="preserve"> to use </w:t>
      </w:r>
      <w:r w:rsidR="00CF587F">
        <w:rPr>
          <w:rFonts w:cs="Arial"/>
          <w:szCs w:val="20"/>
        </w:rPr>
        <w:t>a published simplification</w:t>
      </w:r>
      <w:r>
        <w:rPr>
          <w:rFonts w:cs="Arial"/>
          <w:szCs w:val="20"/>
        </w:rPr>
        <w:t>, and it changes it</w:t>
      </w:r>
      <w:r w:rsidR="009831B6">
        <w:rPr>
          <w:rFonts w:cs="Arial"/>
          <w:szCs w:val="20"/>
        </w:rPr>
        <w:t>’s</w:t>
      </w:r>
      <w:r>
        <w:rPr>
          <w:rFonts w:cs="Arial"/>
          <w:szCs w:val="20"/>
        </w:rPr>
        <w:t xml:space="preserve"> company structure, the </w:t>
      </w:r>
      <w:r w:rsidR="00CF587F">
        <w:rPr>
          <w:rFonts w:cs="Arial"/>
          <w:szCs w:val="20"/>
        </w:rPr>
        <w:t xml:space="preserve">published simplification </w:t>
      </w:r>
      <w:r>
        <w:rPr>
          <w:rFonts w:cs="Arial"/>
          <w:szCs w:val="20"/>
        </w:rPr>
        <w:t xml:space="preserve">and </w:t>
      </w:r>
      <w:r w:rsidR="00CF587F">
        <w:rPr>
          <w:rFonts w:cs="Arial"/>
          <w:szCs w:val="20"/>
        </w:rPr>
        <w:t xml:space="preserve">its </w:t>
      </w:r>
      <w:r>
        <w:rPr>
          <w:rFonts w:cs="Arial"/>
          <w:szCs w:val="20"/>
        </w:rPr>
        <w:t>inputs should be sufficient</w:t>
      </w:r>
      <w:r w:rsidR="00622067">
        <w:rPr>
          <w:rFonts w:cs="Arial"/>
          <w:szCs w:val="20"/>
        </w:rPr>
        <w:t>ly</w:t>
      </w:r>
      <w:r>
        <w:rPr>
          <w:rFonts w:cs="Arial"/>
          <w:szCs w:val="20"/>
        </w:rPr>
        <w:t xml:space="preserve"> flexible to be applied to the new company structure.  </w:t>
      </w:r>
    </w:p>
    <w:p w14:paraId="617F46CF" w14:textId="541B32D8" w:rsidR="00F16740" w:rsidRPr="00FB208E" w:rsidRDefault="00FB208E" w:rsidP="00FB208E">
      <w:pPr>
        <w:jc w:val="both"/>
        <w:rPr>
          <w:rFonts w:cs="Arial"/>
          <w:szCs w:val="20"/>
        </w:rPr>
      </w:pPr>
      <w:r>
        <w:rPr>
          <w:rFonts w:cs="Arial"/>
          <w:szCs w:val="20"/>
        </w:rPr>
        <w:t xml:space="preserve">Continuing the TMTP risk margin (t) example above, consideration will be required as to whether a </w:t>
      </w:r>
      <w:r w:rsidR="00622067">
        <w:rPr>
          <w:rFonts w:cs="Arial"/>
          <w:szCs w:val="20"/>
        </w:rPr>
        <w:t xml:space="preserve">simple </w:t>
      </w:r>
      <w:r>
        <w:rPr>
          <w:rFonts w:cs="Arial"/>
          <w:szCs w:val="20"/>
        </w:rPr>
        <w:t xml:space="preserve">addition (or separate) of the TMTP risk margin at time (t-1) is required, or whether additional allowance is </w:t>
      </w:r>
      <w:r w:rsidR="00962FA1">
        <w:rPr>
          <w:rFonts w:cs="Arial"/>
          <w:szCs w:val="20"/>
        </w:rPr>
        <w:t>required</w:t>
      </w:r>
      <w:r w:rsidR="00962FA1">
        <w:rPr>
          <w:rFonts w:cs="Arial"/>
          <w:szCs w:val="20"/>
        </w:rPr>
        <w:t xml:space="preserve"> </w:t>
      </w:r>
      <w:r>
        <w:rPr>
          <w:rFonts w:cs="Arial"/>
          <w:szCs w:val="20"/>
        </w:rPr>
        <w:t xml:space="preserve">for changes in risk profile </w:t>
      </w:r>
      <w:r w:rsidR="00962FA1">
        <w:rPr>
          <w:rFonts w:cs="Arial"/>
          <w:szCs w:val="20"/>
        </w:rPr>
        <w:t>that may</w:t>
      </w:r>
      <w:bookmarkStart w:id="0" w:name="_GoBack"/>
      <w:bookmarkEnd w:id="0"/>
      <w:r>
        <w:rPr>
          <w:rFonts w:cs="Arial"/>
          <w:szCs w:val="20"/>
        </w:rPr>
        <w:t xml:space="preserve"> change diversification benefits.</w:t>
      </w:r>
    </w:p>
    <w:p w14:paraId="6201E01C" w14:textId="3DF26B0B" w:rsidR="00FB208E" w:rsidRDefault="00FB208E" w:rsidP="00EC498C">
      <w:pPr>
        <w:jc w:val="both"/>
        <w:rPr>
          <w:rFonts w:cs="Arial"/>
          <w:b/>
          <w:szCs w:val="20"/>
        </w:rPr>
      </w:pPr>
    </w:p>
    <w:p w14:paraId="7AF4ADC5" w14:textId="2D4DC0DD" w:rsidR="00532D07" w:rsidRDefault="00532D07" w:rsidP="00CF587F">
      <w:pPr>
        <w:pStyle w:val="ListParagraph"/>
        <w:numPr>
          <w:ilvl w:val="0"/>
          <w:numId w:val="19"/>
        </w:numPr>
        <w:jc w:val="both"/>
        <w:rPr>
          <w:rFonts w:cs="Arial"/>
          <w:b/>
          <w:szCs w:val="20"/>
        </w:rPr>
      </w:pPr>
      <w:r w:rsidRPr="00532D07">
        <w:rPr>
          <w:rFonts w:cs="Arial"/>
          <w:b/>
          <w:szCs w:val="20"/>
        </w:rPr>
        <w:t xml:space="preserve">What incentives are there for firms to adopt these </w:t>
      </w:r>
      <w:r w:rsidR="00CF587F" w:rsidRPr="00CF587F">
        <w:rPr>
          <w:rFonts w:cs="Arial"/>
          <w:b/>
          <w:szCs w:val="20"/>
        </w:rPr>
        <w:t>published simplifications</w:t>
      </w:r>
      <w:r w:rsidRPr="00532D07">
        <w:rPr>
          <w:rFonts w:cs="Arial"/>
          <w:b/>
          <w:szCs w:val="20"/>
        </w:rPr>
        <w:t>?</w:t>
      </w:r>
    </w:p>
    <w:p w14:paraId="2B5CF353" w14:textId="77777777" w:rsidR="00FB208E" w:rsidRDefault="00FB208E" w:rsidP="00FB208E">
      <w:pPr>
        <w:spacing w:after="0"/>
        <w:jc w:val="both"/>
        <w:rPr>
          <w:rFonts w:cs="Arial"/>
          <w:b/>
          <w:szCs w:val="20"/>
        </w:rPr>
      </w:pPr>
    </w:p>
    <w:p w14:paraId="76F92FF5" w14:textId="03DB2256" w:rsidR="00FB208E" w:rsidRDefault="00FB208E" w:rsidP="00FB208E">
      <w:pPr>
        <w:jc w:val="both"/>
        <w:rPr>
          <w:rFonts w:cs="Arial"/>
          <w:szCs w:val="20"/>
        </w:rPr>
      </w:pPr>
      <w:r>
        <w:rPr>
          <w:rFonts w:cs="Arial"/>
          <w:szCs w:val="20"/>
        </w:rPr>
        <w:t xml:space="preserve">The most obvious incentive for firms is to apply a </w:t>
      </w:r>
      <w:r w:rsidR="00CF587F">
        <w:rPr>
          <w:rFonts w:cs="Arial"/>
          <w:szCs w:val="20"/>
        </w:rPr>
        <w:t xml:space="preserve">published simplification </w:t>
      </w:r>
      <w:r>
        <w:rPr>
          <w:rFonts w:cs="Arial"/>
          <w:szCs w:val="20"/>
        </w:rPr>
        <w:t>and decommission legacy processes and systems not required going forward.</w:t>
      </w:r>
      <w:r w:rsidR="00AA5F18">
        <w:rPr>
          <w:rFonts w:cs="Arial"/>
          <w:szCs w:val="20"/>
        </w:rPr>
        <w:t xml:space="preserve"> However a number of benefits from a simplified approach to TMTP recalculation may already have been realised by firms’ existing recalculation approaches.</w:t>
      </w:r>
    </w:p>
    <w:p w14:paraId="1F52CEC2" w14:textId="1D9EA27C" w:rsidR="00FB208E" w:rsidRDefault="00FB208E" w:rsidP="00FB208E">
      <w:pPr>
        <w:jc w:val="both"/>
        <w:rPr>
          <w:rFonts w:cs="Arial"/>
          <w:szCs w:val="20"/>
        </w:rPr>
      </w:pPr>
      <w:r>
        <w:rPr>
          <w:rFonts w:cs="Arial"/>
          <w:szCs w:val="20"/>
        </w:rPr>
        <w:t>However a business case would be require</w:t>
      </w:r>
      <w:r w:rsidR="00245BF6">
        <w:rPr>
          <w:rFonts w:cs="Arial"/>
          <w:szCs w:val="20"/>
        </w:rPr>
        <w:t>d</w:t>
      </w:r>
      <w:r>
        <w:rPr>
          <w:rFonts w:cs="Arial"/>
          <w:szCs w:val="20"/>
        </w:rPr>
        <w:t xml:space="preserve"> for firms to adopt </w:t>
      </w:r>
      <w:r w:rsidR="00CF587F">
        <w:rPr>
          <w:rFonts w:cs="Arial"/>
          <w:szCs w:val="20"/>
        </w:rPr>
        <w:t xml:space="preserve">a </w:t>
      </w:r>
      <w:r w:rsidR="00CF587F" w:rsidRPr="00CF587F">
        <w:rPr>
          <w:rFonts w:cs="Arial"/>
          <w:szCs w:val="20"/>
        </w:rPr>
        <w:t>published simplificat</w:t>
      </w:r>
      <w:r w:rsidR="00CF587F">
        <w:rPr>
          <w:rFonts w:cs="Arial"/>
          <w:szCs w:val="20"/>
        </w:rPr>
        <w:t>ion</w:t>
      </w:r>
      <w:r w:rsidR="00CF587F" w:rsidRPr="00CF587F" w:rsidDel="00CF587F">
        <w:rPr>
          <w:rFonts w:cs="Arial"/>
          <w:szCs w:val="20"/>
        </w:rPr>
        <w:t xml:space="preserve"> </w:t>
      </w:r>
      <w:r>
        <w:rPr>
          <w:rFonts w:cs="Arial"/>
          <w:szCs w:val="20"/>
        </w:rPr>
        <w:t>who have already invested time and money in developing their current TMTP recalculation methodology.</w:t>
      </w:r>
    </w:p>
    <w:p w14:paraId="6ACC6ADB" w14:textId="77777777" w:rsidR="00F16740" w:rsidRPr="00FB208E" w:rsidRDefault="00F16740" w:rsidP="00FB208E">
      <w:pPr>
        <w:jc w:val="both"/>
        <w:rPr>
          <w:rFonts w:cs="Arial"/>
          <w:szCs w:val="20"/>
        </w:rPr>
      </w:pPr>
    </w:p>
    <w:p w14:paraId="518EC243" w14:textId="69CC3E2B" w:rsidR="000B73A9" w:rsidRPr="00532D07" w:rsidRDefault="000B73A9" w:rsidP="00CF587F">
      <w:pPr>
        <w:pStyle w:val="ListParagraph"/>
        <w:numPr>
          <w:ilvl w:val="0"/>
          <w:numId w:val="19"/>
        </w:numPr>
        <w:jc w:val="both"/>
        <w:rPr>
          <w:rFonts w:cs="Arial"/>
          <w:b/>
          <w:szCs w:val="20"/>
        </w:rPr>
      </w:pPr>
      <w:r w:rsidRPr="00532D07">
        <w:rPr>
          <w:rFonts w:cs="Arial"/>
          <w:b/>
          <w:szCs w:val="20"/>
        </w:rPr>
        <w:t xml:space="preserve">Who is responsible for the adoption of </w:t>
      </w:r>
      <w:r w:rsidR="00CF587F">
        <w:rPr>
          <w:rFonts w:cs="Arial"/>
          <w:b/>
          <w:szCs w:val="20"/>
        </w:rPr>
        <w:t>a published simplification</w:t>
      </w:r>
      <w:r w:rsidR="00CF587F" w:rsidRPr="00CF587F" w:rsidDel="00CF587F">
        <w:rPr>
          <w:rFonts w:cs="Arial"/>
          <w:b/>
          <w:szCs w:val="20"/>
        </w:rPr>
        <w:t xml:space="preserve"> </w:t>
      </w:r>
      <w:r w:rsidRPr="00532D07">
        <w:rPr>
          <w:rFonts w:cs="Arial"/>
          <w:b/>
          <w:szCs w:val="20"/>
        </w:rPr>
        <w:t>or otherwise?</w:t>
      </w:r>
    </w:p>
    <w:p w14:paraId="3B128BEC" w14:textId="77777777" w:rsidR="000B73A9" w:rsidRDefault="000B73A9" w:rsidP="000B73A9">
      <w:pPr>
        <w:spacing w:after="0"/>
        <w:jc w:val="both"/>
        <w:rPr>
          <w:rFonts w:cs="Arial"/>
          <w:b/>
          <w:szCs w:val="20"/>
        </w:rPr>
      </w:pPr>
    </w:p>
    <w:p w14:paraId="2DAABBD7" w14:textId="5C69916E" w:rsidR="000B73A9" w:rsidRDefault="000B73A9" w:rsidP="000B73A9">
      <w:pPr>
        <w:jc w:val="both"/>
        <w:rPr>
          <w:rFonts w:cs="Arial"/>
          <w:szCs w:val="20"/>
        </w:rPr>
      </w:pPr>
      <w:r w:rsidRPr="000B73A9">
        <w:rPr>
          <w:rFonts w:cs="Arial"/>
          <w:szCs w:val="20"/>
        </w:rPr>
        <w:t>The</w:t>
      </w:r>
      <w:r>
        <w:rPr>
          <w:rFonts w:cs="Arial"/>
          <w:szCs w:val="20"/>
        </w:rPr>
        <w:t xml:space="preserve"> PRA </w:t>
      </w:r>
      <w:r w:rsidR="009831B6">
        <w:rPr>
          <w:rFonts w:cs="Arial"/>
          <w:szCs w:val="20"/>
        </w:rPr>
        <w:t xml:space="preserve">has </w:t>
      </w:r>
      <w:r>
        <w:rPr>
          <w:rFonts w:cs="Arial"/>
          <w:szCs w:val="20"/>
        </w:rPr>
        <w:t>indicated that the</w:t>
      </w:r>
      <w:r w:rsidRPr="000B73A9">
        <w:rPr>
          <w:rFonts w:cs="Arial"/>
          <w:szCs w:val="20"/>
        </w:rPr>
        <w:t xml:space="preserve"> </w:t>
      </w:r>
      <w:r>
        <w:rPr>
          <w:rFonts w:cs="Arial"/>
          <w:szCs w:val="20"/>
        </w:rPr>
        <w:t>responsibility for ensuring the accuracy of the TMTP calculation is placed upon a firm</w:t>
      </w:r>
      <w:r w:rsidR="004D4764">
        <w:rPr>
          <w:rFonts w:cs="Arial"/>
          <w:szCs w:val="20"/>
        </w:rPr>
        <w:t>, with a firm</w:t>
      </w:r>
      <w:r>
        <w:rPr>
          <w:rFonts w:cs="Arial"/>
          <w:szCs w:val="20"/>
        </w:rPr>
        <w:t>’s audit committee</w:t>
      </w:r>
      <w:r w:rsidR="004D4764">
        <w:rPr>
          <w:rFonts w:cs="Arial"/>
          <w:szCs w:val="20"/>
        </w:rPr>
        <w:t xml:space="preserve"> providing oversight of the calculation</w:t>
      </w:r>
      <w:r>
        <w:rPr>
          <w:rFonts w:cs="Arial"/>
          <w:szCs w:val="20"/>
        </w:rPr>
        <w:t xml:space="preserve">.  It would logically follow that the decision as to whether to adopt a </w:t>
      </w:r>
      <w:r w:rsidR="00CF587F" w:rsidRPr="00CF587F">
        <w:rPr>
          <w:rFonts w:cs="Arial"/>
          <w:szCs w:val="20"/>
        </w:rPr>
        <w:t>published simplification</w:t>
      </w:r>
      <w:r w:rsidR="00CF587F" w:rsidRPr="00CF587F" w:rsidDel="00CF587F">
        <w:rPr>
          <w:rFonts w:cs="Arial"/>
          <w:szCs w:val="20"/>
        </w:rPr>
        <w:t xml:space="preserve"> </w:t>
      </w:r>
      <w:r>
        <w:rPr>
          <w:rFonts w:cs="Arial"/>
          <w:szCs w:val="20"/>
        </w:rPr>
        <w:t xml:space="preserve">would fall upon </w:t>
      </w:r>
      <w:r w:rsidR="004D4764">
        <w:rPr>
          <w:rFonts w:cs="Arial"/>
          <w:szCs w:val="20"/>
        </w:rPr>
        <w:t>the company</w:t>
      </w:r>
      <w:r w:rsidR="003A7F22">
        <w:rPr>
          <w:rFonts w:cs="Arial"/>
          <w:szCs w:val="20"/>
        </w:rPr>
        <w:t xml:space="preserve">, with </w:t>
      </w:r>
      <w:r w:rsidR="004D4764">
        <w:rPr>
          <w:rFonts w:cs="Arial"/>
          <w:szCs w:val="20"/>
        </w:rPr>
        <w:t>the audit committee provid</w:t>
      </w:r>
      <w:r w:rsidR="003A7F22">
        <w:rPr>
          <w:rFonts w:cs="Arial"/>
          <w:szCs w:val="20"/>
        </w:rPr>
        <w:t>ing</w:t>
      </w:r>
      <w:r w:rsidR="004D4764">
        <w:rPr>
          <w:rFonts w:cs="Arial"/>
          <w:szCs w:val="20"/>
        </w:rPr>
        <w:t xml:space="preserve"> oversight of this.</w:t>
      </w:r>
    </w:p>
    <w:p w14:paraId="196AB4E7" w14:textId="77777777" w:rsidR="000B73A9" w:rsidRPr="000B73A9" w:rsidRDefault="000B73A9" w:rsidP="000B73A9">
      <w:pPr>
        <w:jc w:val="both"/>
        <w:rPr>
          <w:rFonts w:cs="Arial"/>
          <w:b/>
          <w:szCs w:val="20"/>
        </w:rPr>
      </w:pPr>
    </w:p>
    <w:p w14:paraId="17BB4F30" w14:textId="7C9DCCEF" w:rsidR="00532D07" w:rsidRDefault="00532D07" w:rsidP="00CF587F">
      <w:pPr>
        <w:pStyle w:val="ListParagraph"/>
        <w:numPr>
          <w:ilvl w:val="0"/>
          <w:numId w:val="19"/>
        </w:numPr>
        <w:jc w:val="both"/>
        <w:rPr>
          <w:rFonts w:cs="Arial"/>
          <w:b/>
          <w:szCs w:val="20"/>
        </w:rPr>
      </w:pPr>
      <w:r w:rsidRPr="00532D07">
        <w:rPr>
          <w:rFonts w:cs="Arial"/>
          <w:b/>
          <w:szCs w:val="20"/>
        </w:rPr>
        <w:t xml:space="preserve">What confidence or quality assurance can be provided to </w:t>
      </w:r>
      <w:r w:rsidR="003A7F22">
        <w:rPr>
          <w:rFonts w:cs="Arial"/>
          <w:b/>
          <w:szCs w:val="20"/>
        </w:rPr>
        <w:t>a company and its audit committee</w:t>
      </w:r>
      <w:r w:rsidRPr="00532D07">
        <w:rPr>
          <w:rFonts w:cs="Arial"/>
          <w:b/>
          <w:szCs w:val="20"/>
        </w:rPr>
        <w:t xml:space="preserve"> to convince </w:t>
      </w:r>
      <w:r w:rsidR="003A7F22">
        <w:rPr>
          <w:rFonts w:cs="Arial"/>
          <w:b/>
          <w:szCs w:val="20"/>
        </w:rPr>
        <w:t>it</w:t>
      </w:r>
      <w:r w:rsidR="003A7F22" w:rsidRPr="00532D07">
        <w:rPr>
          <w:rFonts w:cs="Arial"/>
          <w:b/>
          <w:szCs w:val="20"/>
        </w:rPr>
        <w:t xml:space="preserve"> </w:t>
      </w:r>
      <w:r w:rsidRPr="00532D07">
        <w:rPr>
          <w:rFonts w:cs="Arial"/>
          <w:b/>
          <w:szCs w:val="20"/>
        </w:rPr>
        <w:t xml:space="preserve">to adopt </w:t>
      </w:r>
      <w:r w:rsidR="00CF587F">
        <w:rPr>
          <w:rFonts w:cs="Arial"/>
          <w:b/>
          <w:szCs w:val="20"/>
        </w:rPr>
        <w:t xml:space="preserve">a </w:t>
      </w:r>
      <w:r w:rsidR="00CF587F" w:rsidRPr="00CF587F">
        <w:rPr>
          <w:rFonts w:cs="Arial"/>
          <w:b/>
          <w:szCs w:val="20"/>
        </w:rPr>
        <w:t>published simplification</w:t>
      </w:r>
      <w:r w:rsidRPr="00532D07">
        <w:rPr>
          <w:rFonts w:cs="Arial"/>
          <w:b/>
          <w:szCs w:val="20"/>
        </w:rPr>
        <w:t xml:space="preserve">? </w:t>
      </w:r>
    </w:p>
    <w:p w14:paraId="1199FBE7" w14:textId="323C3FAF" w:rsidR="000B73A9" w:rsidRDefault="000B73A9" w:rsidP="000B73A9">
      <w:pPr>
        <w:jc w:val="both"/>
        <w:rPr>
          <w:rFonts w:cs="Arial"/>
          <w:szCs w:val="20"/>
        </w:rPr>
      </w:pPr>
    </w:p>
    <w:p w14:paraId="3F2C56D5" w14:textId="6B9CAA37" w:rsidR="00F16740" w:rsidRDefault="000B73A9" w:rsidP="000B73A9">
      <w:pPr>
        <w:jc w:val="both"/>
        <w:rPr>
          <w:rFonts w:cs="Arial"/>
          <w:szCs w:val="20"/>
        </w:rPr>
      </w:pPr>
      <w:r>
        <w:rPr>
          <w:rFonts w:cs="Arial"/>
          <w:szCs w:val="20"/>
        </w:rPr>
        <w:t xml:space="preserve">Notwithstanding the point made in viii above, any industry wide or regulatory endorsement of the </w:t>
      </w:r>
      <w:r w:rsidR="00CF587F">
        <w:rPr>
          <w:rFonts w:cs="Arial"/>
          <w:szCs w:val="20"/>
        </w:rPr>
        <w:t xml:space="preserve">proposed </w:t>
      </w:r>
      <w:r w:rsidR="00CF587F" w:rsidRPr="00CF587F">
        <w:rPr>
          <w:rFonts w:cs="Arial"/>
          <w:szCs w:val="20"/>
        </w:rPr>
        <w:t>published simplifications</w:t>
      </w:r>
      <w:r w:rsidR="00CF587F" w:rsidRPr="00CF587F" w:rsidDel="00CF587F">
        <w:rPr>
          <w:rFonts w:cs="Arial"/>
          <w:szCs w:val="20"/>
        </w:rPr>
        <w:t xml:space="preserve"> </w:t>
      </w:r>
      <w:r>
        <w:rPr>
          <w:rFonts w:cs="Arial"/>
          <w:szCs w:val="20"/>
        </w:rPr>
        <w:t xml:space="preserve">should help ease </w:t>
      </w:r>
      <w:r w:rsidR="00CF587F">
        <w:rPr>
          <w:rFonts w:cs="Arial"/>
          <w:szCs w:val="20"/>
        </w:rPr>
        <w:t xml:space="preserve">its </w:t>
      </w:r>
      <w:r>
        <w:rPr>
          <w:rFonts w:cs="Arial"/>
          <w:szCs w:val="20"/>
        </w:rPr>
        <w:t>implementation</w:t>
      </w:r>
      <w:r w:rsidR="00CF587F">
        <w:rPr>
          <w:rFonts w:cs="Arial"/>
          <w:szCs w:val="20"/>
        </w:rPr>
        <w:t>.</w:t>
      </w:r>
    </w:p>
    <w:p w14:paraId="75A6C996" w14:textId="77777777" w:rsidR="00CF587F" w:rsidRPr="000B73A9" w:rsidRDefault="00CF587F" w:rsidP="000B73A9">
      <w:pPr>
        <w:jc w:val="both"/>
        <w:rPr>
          <w:rFonts w:cs="Arial"/>
          <w:szCs w:val="20"/>
        </w:rPr>
      </w:pPr>
    </w:p>
    <w:p w14:paraId="41B13D2A" w14:textId="77777777" w:rsidR="00532D07" w:rsidRDefault="00532D07" w:rsidP="00532D07">
      <w:pPr>
        <w:pStyle w:val="ListParagraph"/>
        <w:numPr>
          <w:ilvl w:val="0"/>
          <w:numId w:val="19"/>
        </w:numPr>
        <w:jc w:val="both"/>
        <w:rPr>
          <w:rFonts w:cs="Arial"/>
          <w:b/>
          <w:szCs w:val="20"/>
        </w:rPr>
      </w:pPr>
      <w:r w:rsidRPr="00532D07">
        <w:rPr>
          <w:rFonts w:cs="Arial"/>
          <w:b/>
          <w:szCs w:val="20"/>
        </w:rPr>
        <w:t>How does a simplified method interact with a firm which wishes to maintain all or part of its current TMTP recalculation methodology?</w:t>
      </w:r>
    </w:p>
    <w:p w14:paraId="4C973909" w14:textId="77777777" w:rsidR="000B73A9" w:rsidRDefault="000B73A9" w:rsidP="00935FD2">
      <w:pPr>
        <w:spacing w:after="0"/>
        <w:jc w:val="both"/>
        <w:rPr>
          <w:rFonts w:cs="Arial"/>
          <w:b/>
          <w:szCs w:val="20"/>
        </w:rPr>
      </w:pPr>
    </w:p>
    <w:p w14:paraId="5A03BD89" w14:textId="13AB9D78" w:rsidR="000B73A9" w:rsidRDefault="00935FD2" w:rsidP="000B73A9">
      <w:pPr>
        <w:jc w:val="both"/>
        <w:rPr>
          <w:rFonts w:cs="Arial"/>
          <w:szCs w:val="20"/>
        </w:rPr>
      </w:pPr>
      <w:r>
        <w:rPr>
          <w:rFonts w:cs="Arial"/>
          <w:szCs w:val="20"/>
        </w:rPr>
        <w:t xml:space="preserve">A firm may wish to adopt a ‘blended’ approach to calculating the TMTP i.e. using </w:t>
      </w:r>
      <w:r w:rsidR="00CF587F">
        <w:rPr>
          <w:rFonts w:cs="Arial"/>
          <w:szCs w:val="20"/>
        </w:rPr>
        <w:t xml:space="preserve">a </w:t>
      </w:r>
      <w:r w:rsidR="00CF587F" w:rsidRPr="00CF587F">
        <w:rPr>
          <w:rFonts w:cs="Arial"/>
          <w:szCs w:val="20"/>
        </w:rPr>
        <w:t>published simplifications</w:t>
      </w:r>
      <w:r w:rsidR="00CF587F" w:rsidRPr="00CF587F" w:rsidDel="00CF587F">
        <w:rPr>
          <w:rFonts w:cs="Arial"/>
          <w:szCs w:val="20"/>
        </w:rPr>
        <w:t xml:space="preserve"> </w:t>
      </w:r>
      <w:r>
        <w:rPr>
          <w:rFonts w:cs="Arial"/>
          <w:szCs w:val="20"/>
        </w:rPr>
        <w:t>method for certain, potentially less material, aspects of recalculation, but use a more accurate</w:t>
      </w:r>
      <w:r w:rsidR="00C2063B">
        <w:rPr>
          <w:rFonts w:cs="Arial"/>
          <w:szCs w:val="20"/>
        </w:rPr>
        <w:t>, though approximate,</w:t>
      </w:r>
      <w:r>
        <w:rPr>
          <w:rFonts w:cs="Arial"/>
          <w:szCs w:val="20"/>
        </w:rPr>
        <w:t xml:space="preserve"> method for other sources of TMTP.  </w:t>
      </w:r>
      <w:r w:rsidR="00C2063B">
        <w:rPr>
          <w:rFonts w:cs="Arial"/>
          <w:szCs w:val="20"/>
        </w:rPr>
        <w:t xml:space="preserve">The approach taken </w:t>
      </w:r>
      <w:r>
        <w:rPr>
          <w:rFonts w:cs="Arial"/>
          <w:szCs w:val="20"/>
        </w:rPr>
        <w:t>would depend on the materiality of the firm, the complexity of the more accurate method, whether a firm is open or close to new business etc.</w:t>
      </w:r>
    </w:p>
    <w:p w14:paraId="2A76EBA0" w14:textId="5E01B50A" w:rsidR="00935FD2" w:rsidRDefault="00935FD2" w:rsidP="000B73A9">
      <w:pPr>
        <w:jc w:val="both"/>
        <w:rPr>
          <w:rFonts w:cs="Arial"/>
          <w:szCs w:val="20"/>
        </w:rPr>
      </w:pPr>
      <w:r>
        <w:rPr>
          <w:rFonts w:cs="Arial"/>
          <w:szCs w:val="20"/>
        </w:rPr>
        <w:t>Consideration is required as to how to accommodate this, if at all.</w:t>
      </w:r>
    </w:p>
    <w:p w14:paraId="230C0C36" w14:textId="77777777" w:rsidR="00F16740" w:rsidRPr="000B73A9" w:rsidRDefault="00F16740" w:rsidP="000B73A9">
      <w:pPr>
        <w:jc w:val="both"/>
        <w:rPr>
          <w:rFonts w:cs="Arial"/>
          <w:szCs w:val="20"/>
        </w:rPr>
      </w:pPr>
    </w:p>
    <w:p w14:paraId="47843D2A" w14:textId="503E0F9F" w:rsidR="00532D07" w:rsidRPr="00532D07" w:rsidRDefault="00532D07" w:rsidP="00CF587F">
      <w:pPr>
        <w:pStyle w:val="ListParagraph"/>
        <w:numPr>
          <w:ilvl w:val="0"/>
          <w:numId w:val="19"/>
        </w:numPr>
        <w:jc w:val="both"/>
        <w:rPr>
          <w:rFonts w:cs="Arial"/>
          <w:b/>
          <w:szCs w:val="20"/>
        </w:rPr>
      </w:pPr>
      <w:r w:rsidRPr="00532D07">
        <w:rPr>
          <w:rFonts w:cs="Arial"/>
          <w:b/>
          <w:szCs w:val="20"/>
        </w:rPr>
        <w:lastRenderedPageBreak/>
        <w:t xml:space="preserve">How can </w:t>
      </w:r>
      <w:r w:rsidR="000B73A9">
        <w:rPr>
          <w:rFonts w:cs="Arial"/>
          <w:b/>
          <w:szCs w:val="20"/>
        </w:rPr>
        <w:t xml:space="preserve">a firm communicate </w:t>
      </w:r>
      <w:r w:rsidRPr="00532D07">
        <w:rPr>
          <w:rFonts w:cs="Arial"/>
          <w:b/>
          <w:szCs w:val="20"/>
        </w:rPr>
        <w:t>the outcome of</w:t>
      </w:r>
      <w:r w:rsidR="000B73A9">
        <w:rPr>
          <w:rFonts w:cs="Arial"/>
          <w:b/>
          <w:szCs w:val="20"/>
        </w:rPr>
        <w:t xml:space="preserve"> using a </w:t>
      </w:r>
      <w:r w:rsidR="00CF587F">
        <w:rPr>
          <w:rFonts w:cs="Arial"/>
          <w:b/>
          <w:szCs w:val="20"/>
        </w:rPr>
        <w:t xml:space="preserve">published simplification </w:t>
      </w:r>
      <w:r w:rsidRPr="00532D07">
        <w:rPr>
          <w:rFonts w:cs="Arial"/>
          <w:b/>
          <w:szCs w:val="20"/>
        </w:rPr>
        <w:t>internal</w:t>
      </w:r>
      <w:r w:rsidR="00CF587F">
        <w:rPr>
          <w:rFonts w:cs="Arial"/>
          <w:b/>
          <w:szCs w:val="20"/>
        </w:rPr>
        <w:t>ly</w:t>
      </w:r>
      <w:r w:rsidRPr="00532D07">
        <w:rPr>
          <w:rFonts w:cs="Arial"/>
          <w:b/>
          <w:szCs w:val="20"/>
        </w:rPr>
        <w:t xml:space="preserve"> and external</w:t>
      </w:r>
      <w:r w:rsidR="00CF587F">
        <w:rPr>
          <w:rFonts w:cs="Arial"/>
          <w:b/>
          <w:szCs w:val="20"/>
        </w:rPr>
        <w:t>ly</w:t>
      </w:r>
      <w:r w:rsidRPr="00532D07">
        <w:rPr>
          <w:rFonts w:cs="Arial"/>
          <w:b/>
          <w:szCs w:val="20"/>
        </w:rPr>
        <w:t>?</w:t>
      </w:r>
    </w:p>
    <w:p w14:paraId="229DA51C" w14:textId="77777777" w:rsidR="008A14C0" w:rsidRDefault="008A14C0" w:rsidP="00935FD2">
      <w:pPr>
        <w:spacing w:after="0"/>
        <w:jc w:val="both"/>
        <w:rPr>
          <w:rFonts w:cs="Arial"/>
          <w:szCs w:val="20"/>
        </w:rPr>
      </w:pPr>
    </w:p>
    <w:p w14:paraId="774A8A03" w14:textId="1CFEA69F" w:rsidR="008A14C0" w:rsidRPr="008A14C0" w:rsidRDefault="00C2063B" w:rsidP="008A14C0">
      <w:pPr>
        <w:jc w:val="both"/>
        <w:rPr>
          <w:rFonts w:cs="Arial"/>
          <w:szCs w:val="20"/>
        </w:rPr>
      </w:pPr>
      <w:r>
        <w:rPr>
          <w:rFonts w:cs="Arial"/>
          <w:szCs w:val="20"/>
        </w:rPr>
        <w:t>Though not a new requirement, f</w:t>
      </w:r>
      <w:r w:rsidR="000B73A9" w:rsidRPr="000B73A9">
        <w:rPr>
          <w:rFonts w:cs="Arial"/>
          <w:szCs w:val="20"/>
        </w:rPr>
        <w:t xml:space="preserve">irms </w:t>
      </w:r>
      <w:r w:rsidR="000B73A9">
        <w:rPr>
          <w:rFonts w:cs="Arial"/>
          <w:szCs w:val="20"/>
        </w:rPr>
        <w:t xml:space="preserve">will need to articulate the impact of using (or not using) a </w:t>
      </w:r>
      <w:r w:rsidR="00CF587F">
        <w:rPr>
          <w:rFonts w:cs="Arial"/>
          <w:szCs w:val="20"/>
        </w:rPr>
        <w:t xml:space="preserve">published simplification </w:t>
      </w:r>
      <w:r>
        <w:rPr>
          <w:rFonts w:cs="Arial"/>
          <w:szCs w:val="20"/>
        </w:rPr>
        <w:t>both</w:t>
      </w:r>
      <w:r w:rsidR="00BF792D">
        <w:rPr>
          <w:rFonts w:cs="Arial"/>
          <w:szCs w:val="20"/>
        </w:rPr>
        <w:t xml:space="preserve"> internally and externally.  They should be able to explain the rationale for their choice, the upside and downside of choosing the </w:t>
      </w:r>
      <w:r w:rsidR="00CF587F">
        <w:rPr>
          <w:rFonts w:cs="Arial"/>
          <w:szCs w:val="20"/>
        </w:rPr>
        <w:t xml:space="preserve">published simplification </w:t>
      </w:r>
      <w:r w:rsidR="00BF792D">
        <w:rPr>
          <w:rFonts w:cs="Arial"/>
          <w:szCs w:val="20"/>
        </w:rPr>
        <w:t>o</w:t>
      </w:r>
      <w:r w:rsidR="00935FD2">
        <w:rPr>
          <w:rFonts w:cs="Arial"/>
          <w:szCs w:val="20"/>
        </w:rPr>
        <w:t xml:space="preserve">ver other options.  For example the firm may trade capital resources for a more prudent, but easier to implement, </w:t>
      </w:r>
      <w:r w:rsidR="00CF587F">
        <w:rPr>
          <w:rFonts w:cs="Arial"/>
          <w:szCs w:val="20"/>
        </w:rPr>
        <w:t>published simplification</w:t>
      </w:r>
      <w:r w:rsidR="00935FD2">
        <w:rPr>
          <w:rFonts w:cs="Arial"/>
          <w:szCs w:val="20"/>
        </w:rPr>
        <w:t xml:space="preserve">. </w:t>
      </w:r>
    </w:p>
    <w:p w14:paraId="482FAC21" w14:textId="77777777" w:rsidR="008A14C0" w:rsidRDefault="008A14C0" w:rsidP="00B8652C">
      <w:pPr>
        <w:jc w:val="both"/>
        <w:rPr>
          <w:rFonts w:cs="Arial"/>
          <w:b/>
          <w:szCs w:val="20"/>
        </w:rPr>
      </w:pPr>
    </w:p>
    <w:p w14:paraId="0E3D5C88" w14:textId="3557D8F8" w:rsidR="0062665E" w:rsidRDefault="0062665E">
      <w:pPr>
        <w:rPr>
          <w:rFonts w:cs="Arial"/>
          <w:b/>
          <w:szCs w:val="20"/>
        </w:rPr>
      </w:pPr>
      <w:r>
        <w:rPr>
          <w:rFonts w:cs="Arial"/>
          <w:b/>
          <w:szCs w:val="20"/>
        </w:rPr>
        <w:br w:type="page"/>
      </w:r>
    </w:p>
    <w:p w14:paraId="09B4B35B" w14:textId="77777777" w:rsidR="0062665E" w:rsidRPr="0062665E" w:rsidRDefault="0062665E" w:rsidP="0062665E">
      <w:pPr>
        <w:autoSpaceDE w:val="0"/>
        <w:autoSpaceDN w:val="0"/>
        <w:adjustRightInd w:val="0"/>
        <w:spacing w:after="0" w:line="240" w:lineRule="auto"/>
        <w:rPr>
          <w:rFonts w:cs="Arial"/>
          <w:color w:val="000000"/>
          <w:sz w:val="24"/>
          <w:szCs w:val="24"/>
        </w:rPr>
      </w:pPr>
    </w:p>
    <w:p w14:paraId="76A09880" w14:textId="3372BDAF" w:rsidR="0062665E" w:rsidRPr="00F52AB9" w:rsidRDefault="0062665E" w:rsidP="00F52AB9">
      <w:pPr>
        <w:pStyle w:val="PlainText"/>
        <w:spacing w:after="200"/>
        <w:jc w:val="both"/>
        <w:rPr>
          <w:rFonts w:cs="Arial"/>
          <w:b/>
          <w:color w:val="auto"/>
          <w:sz w:val="20"/>
          <w:szCs w:val="20"/>
        </w:rPr>
      </w:pPr>
      <w:r w:rsidRPr="00F52AB9">
        <w:rPr>
          <w:rFonts w:ascii="Arial" w:hAnsi="Arial" w:cs="Arial"/>
          <w:b/>
          <w:color w:val="auto"/>
          <w:sz w:val="20"/>
          <w:szCs w:val="20"/>
        </w:rPr>
        <w:t xml:space="preserve">Appendix </w:t>
      </w:r>
      <w:r>
        <w:rPr>
          <w:rFonts w:ascii="Arial" w:hAnsi="Arial" w:cs="Arial"/>
          <w:b/>
          <w:color w:val="auto"/>
          <w:sz w:val="20"/>
          <w:szCs w:val="20"/>
        </w:rPr>
        <w:t xml:space="preserve">A </w:t>
      </w:r>
      <w:r w:rsidRPr="00F52AB9">
        <w:rPr>
          <w:rFonts w:ascii="Arial" w:hAnsi="Arial" w:cs="Arial"/>
          <w:b/>
          <w:color w:val="auto"/>
          <w:sz w:val="20"/>
          <w:szCs w:val="20"/>
        </w:rPr>
        <w:t xml:space="preserve">– PRA TMTP Simplification Project Note </w:t>
      </w:r>
      <w:r>
        <w:rPr>
          <w:rFonts w:ascii="Arial" w:hAnsi="Arial" w:cs="Arial"/>
          <w:b/>
          <w:color w:val="auto"/>
          <w:sz w:val="20"/>
          <w:szCs w:val="20"/>
        </w:rPr>
        <w:t>(</w:t>
      </w:r>
      <w:r w:rsidRPr="00F52AB9">
        <w:rPr>
          <w:rFonts w:ascii="Arial" w:hAnsi="Arial" w:cs="Arial"/>
          <w:b/>
          <w:color w:val="auto"/>
          <w:sz w:val="20"/>
          <w:szCs w:val="20"/>
        </w:rPr>
        <w:t>Issued by PRA on 10 January 2018</w:t>
      </w:r>
      <w:r>
        <w:rPr>
          <w:rFonts w:ascii="Arial" w:hAnsi="Arial" w:cs="Arial"/>
          <w:b/>
          <w:color w:val="auto"/>
          <w:sz w:val="20"/>
          <w:szCs w:val="20"/>
        </w:rPr>
        <w:t>)</w:t>
      </w:r>
    </w:p>
    <w:p w14:paraId="062B6E3A" w14:textId="569CEF7C" w:rsidR="0062665E" w:rsidRPr="00F52AB9" w:rsidRDefault="0062665E" w:rsidP="00F52AB9">
      <w:pPr>
        <w:rPr>
          <w:rFonts w:eastAsia="Consolas" w:cs="Arial"/>
          <w:b/>
          <w:szCs w:val="20"/>
          <w:u w:color="000000"/>
          <w:bdr w:val="nil"/>
          <w:lang w:val="en-US" w:eastAsia="en-GB"/>
        </w:rPr>
      </w:pPr>
      <w:r w:rsidRPr="00F52AB9">
        <w:rPr>
          <w:rFonts w:eastAsia="Consolas" w:cs="Arial"/>
          <w:b/>
          <w:szCs w:val="20"/>
          <w:u w:color="000000"/>
          <w:bdr w:val="nil"/>
          <w:lang w:val="en-US" w:eastAsia="en-GB"/>
        </w:rPr>
        <w:t>PRA TMTP Simplification Project</w:t>
      </w:r>
    </w:p>
    <w:p w14:paraId="1F230CE2" w14:textId="2BB2EE54" w:rsidR="0062665E" w:rsidRDefault="0062665E">
      <w:pPr>
        <w:autoSpaceDE w:val="0"/>
        <w:autoSpaceDN w:val="0"/>
        <w:adjustRightInd w:val="0"/>
        <w:spacing w:after="0" w:line="240" w:lineRule="auto"/>
        <w:rPr>
          <w:rFonts w:cs="Arial"/>
          <w:szCs w:val="20"/>
        </w:rPr>
      </w:pPr>
      <w:r w:rsidRPr="00F52AB9">
        <w:rPr>
          <w:rFonts w:cs="Arial"/>
          <w:szCs w:val="20"/>
        </w:rPr>
        <w:t>This note is intended to set out what the PRA hopes to achieve in the space of simplification of the TMTP. It has been prepared to explain our aims, principles, ideas and planned process to external parties, specifically the ABI and IFOA Working party.</w:t>
      </w:r>
    </w:p>
    <w:p w14:paraId="71AE9BB1" w14:textId="77777777" w:rsidR="0062665E" w:rsidRDefault="0062665E">
      <w:pPr>
        <w:autoSpaceDE w:val="0"/>
        <w:autoSpaceDN w:val="0"/>
        <w:adjustRightInd w:val="0"/>
        <w:spacing w:after="0" w:line="240" w:lineRule="auto"/>
        <w:rPr>
          <w:rFonts w:cs="Arial"/>
          <w:szCs w:val="20"/>
        </w:rPr>
      </w:pPr>
    </w:p>
    <w:p w14:paraId="382B61C9" w14:textId="77777777" w:rsidR="0062665E" w:rsidRDefault="0062665E">
      <w:pPr>
        <w:autoSpaceDE w:val="0"/>
        <w:autoSpaceDN w:val="0"/>
        <w:adjustRightInd w:val="0"/>
        <w:spacing w:after="0" w:line="240" w:lineRule="auto"/>
        <w:rPr>
          <w:rFonts w:cs="Arial"/>
          <w:szCs w:val="20"/>
        </w:rPr>
      </w:pPr>
    </w:p>
    <w:p w14:paraId="1EB1FCF1" w14:textId="0B6C5CC7" w:rsidR="0062665E" w:rsidRPr="00F52AB9" w:rsidRDefault="0062665E" w:rsidP="0062665E">
      <w:pPr>
        <w:autoSpaceDE w:val="0"/>
        <w:autoSpaceDN w:val="0"/>
        <w:adjustRightInd w:val="0"/>
        <w:spacing w:after="0" w:line="240" w:lineRule="auto"/>
        <w:rPr>
          <w:rFonts w:eastAsia="Consolas" w:cs="Arial"/>
          <w:b/>
          <w:szCs w:val="20"/>
          <w:u w:color="000000"/>
          <w:bdr w:val="nil"/>
          <w:lang w:val="en-US" w:eastAsia="en-GB"/>
        </w:rPr>
      </w:pPr>
      <w:r w:rsidRPr="00F52AB9">
        <w:rPr>
          <w:rFonts w:eastAsia="Consolas" w:cs="Arial"/>
          <w:b/>
          <w:szCs w:val="20"/>
          <w:u w:color="000000"/>
          <w:bdr w:val="nil"/>
          <w:lang w:val="en-US" w:eastAsia="en-GB"/>
        </w:rPr>
        <w:t xml:space="preserve">Aim </w:t>
      </w:r>
    </w:p>
    <w:p w14:paraId="629C92A7" w14:textId="77777777" w:rsidR="0062665E" w:rsidRDefault="0062665E" w:rsidP="0062665E">
      <w:pPr>
        <w:autoSpaceDE w:val="0"/>
        <w:autoSpaceDN w:val="0"/>
        <w:adjustRightInd w:val="0"/>
        <w:spacing w:after="0" w:line="240" w:lineRule="auto"/>
        <w:rPr>
          <w:rFonts w:cs="Arial"/>
          <w:szCs w:val="20"/>
        </w:rPr>
      </w:pPr>
    </w:p>
    <w:p w14:paraId="2D415DED" w14:textId="77777777" w:rsidR="0062665E" w:rsidRDefault="0062665E" w:rsidP="0062665E">
      <w:pPr>
        <w:autoSpaceDE w:val="0"/>
        <w:autoSpaceDN w:val="0"/>
        <w:adjustRightInd w:val="0"/>
        <w:spacing w:after="0" w:line="240" w:lineRule="auto"/>
        <w:rPr>
          <w:rFonts w:cs="Arial"/>
          <w:szCs w:val="20"/>
        </w:rPr>
      </w:pPr>
      <w:r w:rsidRPr="00F52AB9">
        <w:rPr>
          <w:rFonts w:cs="Arial"/>
          <w:szCs w:val="20"/>
        </w:rPr>
        <w:t xml:space="preserve">The aim is to find a way of calculating TMTP, for its remaining lifetime of 14 years, which does not require insurance companies to maintain full processes and systems for 3 different valuation bases during that period. </w:t>
      </w:r>
    </w:p>
    <w:p w14:paraId="3575BF5E" w14:textId="77777777" w:rsidR="0062665E" w:rsidRPr="00F52AB9" w:rsidRDefault="0062665E" w:rsidP="0062665E">
      <w:pPr>
        <w:autoSpaceDE w:val="0"/>
        <w:autoSpaceDN w:val="0"/>
        <w:adjustRightInd w:val="0"/>
        <w:spacing w:after="0" w:line="240" w:lineRule="auto"/>
        <w:rPr>
          <w:rFonts w:cs="Arial"/>
          <w:szCs w:val="20"/>
        </w:rPr>
      </w:pPr>
    </w:p>
    <w:p w14:paraId="4EFF389D" w14:textId="77777777" w:rsidR="0062665E" w:rsidRDefault="0062665E" w:rsidP="0062665E">
      <w:pPr>
        <w:autoSpaceDE w:val="0"/>
        <w:autoSpaceDN w:val="0"/>
        <w:adjustRightInd w:val="0"/>
        <w:spacing w:after="0" w:line="240" w:lineRule="auto"/>
        <w:rPr>
          <w:rFonts w:eastAsia="Consolas" w:cs="Arial"/>
          <w:b/>
          <w:szCs w:val="20"/>
          <w:u w:color="000000"/>
          <w:bdr w:val="nil"/>
          <w:lang w:val="en-US" w:eastAsia="en-GB"/>
        </w:rPr>
      </w:pPr>
    </w:p>
    <w:p w14:paraId="3FBD25AA" w14:textId="77777777" w:rsidR="0062665E" w:rsidRDefault="0062665E" w:rsidP="0062665E">
      <w:pPr>
        <w:autoSpaceDE w:val="0"/>
        <w:autoSpaceDN w:val="0"/>
        <w:adjustRightInd w:val="0"/>
        <w:spacing w:after="0" w:line="240" w:lineRule="auto"/>
        <w:rPr>
          <w:rFonts w:eastAsia="Consolas" w:cs="Arial"/>
          <w:b/>
          <w:szCs w:val="20"/>
          <w:u w:color="000000"/>
          <w:bdr w:val="nil"/>
          <w:lang w:val="en-US" w:eastAsia="en-GB"/>
        </w:rPr>
      </w:pPr>
      <w:r w:rsidRPr="00F52AB9">
        <w:rPr>
          <w:rFonts w:eastAsia="Consolas" w:cs="Arial"/>
          <w:b/>
          <w:szCs w:val="20"/>
          <w:u w:color="000000"/>
          <w:bdr w:val="nil"/>
          <w:lang w:val="en-US" w:eastAsia="en-GB"/>
        </w:rPr>
        <w:t xml:space="preserve">Principles </w:t>
      </w:r>
    </w:p>
    <w:p w14:paraId="2ED2C75D" w14:textId="77777777" w:rsidR="0062665E" w:rsidRPr="00F52AB9" w:rsidRDefault="0062665E" w:rsidP="0062665E">
      <w:pPr>
        <w:autoSpaceDE w:val="0"/>
        <w:autoSpaceDN w:val="0"/>
        <w:adjustRightInd w:val="0"/>
        <w:spacing w:after="0" w:line="240" w:lineRule="auto"/>
        <w:rPr>
          <w:rFonts w:eastAsia="Consolas" w:cs="Arial"/>
          <w:b/>
          <w:szCs w:val="20"/>
          <w:u w:color="000000"/>
          <w:bdr w:val="nil"/>
          <w:lang w:val="en-US" w:eastAsia="en-GB"/>
        </w:rPr>
      </w:pPr>
    </w:p>
    <w:p w14:paraId="565AB90F" w14:textId="77777777" w:rsidR="0062665E" w:rsidRDefault="0062665E" w:rsidP="0062665E">
      <w:pPr>
        <w:autoSpaceDE w:val="0"/>
        <w:autoSpaceDN w:val="0"/>
        <w:adjustRightInd w:val="0"/>
        <w:spacing w:after="0" w:line="240" w:lineRule="auto"/>
        <w:rPr>
          <w:rFonts w:cs="Arial"/>
          <w:szCs w:val="20"/>
        </w:rPr>
      </w:pPr>
      <w:r w:rsidRPr="00F52AB9">
        <w:rPr>
          <w:rFonts w:cs="Arial"/>
          <w:szCs w:val="20"/>
        </w:rPr>
        <w:t xml:space="preserve">We believe that the following principles should be followed </w:t>
      </w:r>
    </w:p>
    <w:p w14:paraId="67370124" w14:textId="77777777" w:rsidR="0062665E" w:rsidRPr="00F52AB9" w:rsidRDefault="0062665E" w:rsidP="0062665E">
      <w:pPr>
        <w:autoSpaceDE w:val="0"/>
        <w:autoSpaceDN w:val="0"/>
        <w:adjustRightInd w:val="0"/>
        <w:spacing w:after="0" w:line="240" w:lineRule="auto"/>
        <w:rPr>
          <w:rFonts w:cs="Arial"/>
          <w:szCs w:val="20"/>
        </w:rPr>
      </w:pPr>
    </w:p>
    <w:p w14:paraId="717A472B" w14:textId="77777777" w:rsidR="0062665E" w:rsidRPr="00F52AB9" w:rsidRDefault="0062665E" w:rsidP="0062665E">
      <w:pPr>
        <w:autoSpaceDE w:val="0"/>
        <w:autoSpaceDN w:val="0"/>
        <w:adjustRightInd w:val="0"/>
        <w:spacing w:after="257" w:line="240" w:lineRule="auto"/>
        <w:rPr>
          <w:rFonts w:cs="Arial"/>
          <w:szCs w:val="20"/>
        </w:rPr>
      </w:pPr>
      <w:r w:rsidRPr="00F52AB9">
        <w:rPr>
          <w:rFonts w:cs="Arial"/>
          <w:szCs w:val="20"/>
        </w:rPr>
        <w:t xml:space="preserve">1. We aim to devise a TMTP recalculation method that does not require firms to maintain full legacy systems (Solvency I Pillar 1 and/or Solvency I Pillar 2), thereby allowing firms to use a simplified method after having completed the YE17 recalculation. Calculations involving Solvency II numbers as at recalculation dates on any or all of: the current policy portfolio; the historic portfolio as 31.12.15; or that element of the historic portfolio still in force at recalculation date; are acceptable. Specifically it is assumed that companies would be able to calculate the Risk Margin as at 31.12.15 on the basis applying at a recalculation date. </w:t>
      </w:r>
    </w:p>
    <w:p w14:paraId="7B092AD6" w14:textId="77777777" w:rsidR="0062665E" w:rsidRPr="00F52AB9" w:rsidRDefault="0062665E" w:rsidP="0062665E">
      <w:pPr>
        <w:autoSpaceDE w:val="0"/>
        <w:autoSpaceDN w:val="0"/>
        <w:adjustRightInd w:val="0"/>
        <w:spacing w:after="257" w:line="240" w:lineRule="auto"/>
        <w:rPr>
          <w:rFonts w:cs="Arial"/>
          <w:szCs w:val="20"/>
        </w:rPr>
      </w:pPr>
      <w:r w:rsidRPr="00F52AB9">
        <w:rPr>
          <w:rFonts w:cs="Arial"/>
          <w:szCs w:val="20"/>
        </w:rPr>
        <w:t xml:space="preserve">2. Under the terms of the Directive the PRA cannot compel firms to adopt a simplified TMTP calculation approach, or mandate any approach that would not allow a firm the option of a full calculation its INSPRU 7 liabilities. Therefore it would be up to companies to elect to use the simplification. </w:t>
      </w:r>
    </w:p>
    <w:p w14:paraId="29BD5B70" w14:textId="77777777" w:rsidR="0062665E" w:rsidRPr="00F52AB9" w:rsidRDefault="0062665E" w:rsidP="0062665E">
      <w:pPr>
        <w:autoSpaceDE w:val="0"/>
        <w:autoSpaceDN w:val="0"/>
        <w:adjustRightInd w:val="0"/>
        <w:spacing w:after="257" w:line="240" w:lineRule="auto"/>
        <w:rPr>
          <w:rFonts w:cs="Arial"/>
          <w:szCs w:val="20"/>
        </w:rPr>
      </w:pPr>
      <w:r w:rsidRPr="00F52AB9">
        <w:rPr>
          <w:rFonts w:cs="Arial"/>
          <w:szCs w:val="20"/>
        </w:rPr>
        <w:t xml:space="preserve">3. Ideally a single methodology for simplification should be developed. In particular a single method should make considerations regarding portfolio transfers between companies simpler. This may depend on what solutions can be developed but a single method is desirable. </w:t>
      </w:r>
    </w:p>
    <w:p w14:paraId="6069AFBA" w14:textId="77777777" w:rsidR="0062665E" w:rsidRPr="00F52AB9" w:rsidRDefault="0062665E" w:rsidP="0062665E">
      <w:pPr>
        <w:autoSpaceDE w:val="0"/>
        <w:autoSpaceDN w:val="0"/>
        <w:adjustRightInd w:val="0"/>
        <w:spacing w:after="0" w:line="240" w:lineRule="auto"/>
        <w:rPr>
          <w:rFonts w:cs="Arial"/>
          <w:szCs w:val="20"/>
        </w:rPr>
      </w:pPr>
      <w:r w:rsidRPr="00F52AB9">
        <w:rPr>
          <w:rFonts w:cs="Arial"/>
          <w:szCs w:val="20"/>
        </w:rPr>
        <w:t xml:space="preserve">4. Suitability should be assessed by each firm by considering whether or not the simplification results in a reasonably accurate approximation of what a fully recalculated figure would be both under normal conditions and under stress. This level of reasonableness would be assessed in terms of the base SCR of each company. </w:t>
      </w:r>
    </w:p>
    <w:p w14:paraId="51875CD1" w14:textId="77777777" w:rsidR="0062665E" w:rsidRPr="0062665E" w:rsidRDefault="0062665E" w:rsidP="0062665E">
      <w:pPr>
        <w:autoSpaceDE w:val="0"/>
        <w:autoSpaceDN w:val="0"/>
        <w:adjustRightInd w:val="0"/>
        <w:spacing w:after="0" w:line="240" w:lineRule="auto"/>
        <w:rPr>
          <w:rFonts w:cs="Arial"/>
          <w:color w:val="000000"/>
          <w:sz w:val="22"/>
        </w:rPr>
      </w:pPr>
    </w:p>
    <w:p w14:paraId="573608DF" w14:textId="77777777" w:rsidR="0062665E" w:rsidRDefault="0062665E" w:rsidP="0062665E">
      <w:pPr>
        <w:autoSpaceDE w:val="0"/>
        <w:autoSpaceDN w:val="0"/>
        <w:adjustRightInd w:val="0"/>
        <w:spacing w:after="0" w:line="240" w:lineRule="auto"/>
        <w:rPr>
          <w:rFonts w:eastAsia="Consolas" w:cs="Arial"/>
          <w:b/>
          <w:szCs w:val="20"/>
          <w:u w:color="000000"/>
          <w:bdr w:val="nil"/>
          <w:lang w:val="en-US" w:eastAsia="en-GB"/>
        </w:rPr>
      </w:pPr>
    </w:p>
    <w:p w14:paraId="5100AD7E" w14:textId="77777777" w:rsidR="0062665E" w:rsidRDefault="0062665E" w:rsidP="0062665E">
      <w:pPr>
        <w:autoSpaceDE w:val="0"/>
        <w:autoSpaceDN w:val="0"/>
        <w:adjustRightInd w:val="0"/>
        <w:spacing w:after="0" w:line="240" w:lineRule="auto"/>
        <w:rPr>
          <w:rFonts w:eastAsia="Consolas" w:cs="Arial"/>
          <w:b/>
          <w:szCs w:val="20"/>
          <w:u w:color="000000"/>
          <w:bdr w:val="nil"/>
          <w:lang w:val="en-US" w:eastAsia="en-GB"/>
        </w:rPr>
      </w:pPr>
      <w:r w:rsidRPr="00F52AB9">
        <w:rPr>
          <w:rFonts w:eastAsia="Consolas" w:cs="Arial"/>
          <w:b/>
          <w:szCs w:val="20"/>
          <w:u w:color="000000"/>
          <w:bdr w:val="nil"/>
          <w:lang w:val="en-US" w:eastAsia="en-GB"/>
        </w:rPr>
        <w:t xml:space="preserve">Ideas </w:t>
      </w:r>
    </w:p>
    <w:p w14:paraId="7B639974" w14:textId="77777777" w:rsidR="0062665E" w:rsidRPr="00F52AB9" w:rsidRDefault="0062665E" w:rsidP="0062665E">
      <w:pPr>
        <w:autoSpaceDE w:val="0"/>
        <w:autoSpaceDN w:val="0"/>
        <w:adjustRightInd w:val="0"/>
        <w:spacing w:after="0" w:line="240" w:lineRule="auto"/>
        <w:rPr>
          <w:rFonts w:eastAsia="Consolas" w:cs="Arial"/>
          <w:b/>
          <w:szCs w:val="20"/>
          <w:u w:color="000000"/>
          <w:bdr w:val="nil"/>
          <w:lang w:val="en-US" w:eastAsia="en-GB"/>
        </w:rPr>
      </w:pPr>
    </w:p>
    <w:p w14:paraId="220CA65F" w14:textId="77777777" w:rsidR="0062665E" w:rsidRDefault="0062665E" w:rsidP="0062665E">
      <w:pPr>
        <w:autoSpaceDE w:val="0"/>
        <w:autoSpaceDN w:val="0"/>
        <w:adjustRightInd w:val="0"/>
        <w:spacing w:after="0" w:line="240" w:lineRule="auto"/>
        <w:rPr>
          <w:rFonts w:cs="Arial"/>
          <w:szCs w:val="20"/>
        </w:rPr>
      </w:pPr>
      <w:r w:rsidRPr="00F52AB9">
        <w:rPr>
          <w:rFonts w:cs="Arial"/>
          <w:szCs w:val="20"/>
        </w:rPr>
        <w:t xml:space="preserve">5. We believe that we will need to examine both the base TMTP calculation method and the FRR test to achieve our aim. </w:t>
      </w:r>
    </w:p>
    <w:p w14:paraId="1E5F397D" w14:textId="77777777" w:rsidR="0062665E" w:rsidRPr="00F52AB9" w:rsidRDefault="0062665E" w:rsidP="0062665E">
      <w:pPr>
        <w:autoSpaceDE w:val="0"/>
        <w:autoSpaceDN w:val="0"/>
        <w:adjustRightInd w:val="0"/>
        <w:spacing w:after="0" w:line="240" w:lineRule="auto"/>
        <w:rPr>
          <w:rFonts w:cs="Arial"/>
          <w:szCs w:val="20"/>
        </w:rPr>
      </w:pPr>
    </w:p>
    <w:p w14:paraId="5A0CAA5D" w14:textId="77777777" w:rsidR="0062665E" w:rsidRPr="00F52AB9" w:rsidRDefault="0062665E" w:rsidP="0062665E">
      <w:pPr>
        <w:autoSpaceDE w:val="0"/>
        <w:autoSpaceDN w:val="0"/>
        <w:adjustRightInd w:val="0"/>
        <w:spacing w:after="254" w:line="240" w:lineRule="auto"/>
        <w:rPr>
          <w:rFonts w:cs="Arial"/>
          <w:szCs w:val="20"/>
        </w:rPr>
      </w:pPr>
      <w:r w:rsidRPr="00F52AB9">
        <w:rPr>
          <w:rFonts w:cs="Arial"/>
          <w:szCs w:val="20"/>
        </w:rPr>
        <w:t xml:space="preserve">6. Intercompany transactions will remain relatively common events, so any method may need to be able to apportion TMTP to any transferring block of business such that the TMTP benefit can be transferred with the business. </w:t>
      </w:r>
    </w:p>
    <w:p w14:paraId="32F098AA" w14:textId="77777777" w:rsidR="0062665E" w:rsidRPr="00F52AB9" w:rsidRDefault="0062665E" w:rsidP="0062665E">
      <w:pPr>
        <w:autoSpaceDE w:val="0"/>
        <w:autoSpaceDN w:val="0"/>
        <w:adjustRightInd w:val="0"/>
        <w:spacing w:after="254" w:line="240" w:lineRule="auto"/>
        <w:rPr>
          <w:rFonts w:cs="Arial"/>
          <w:szCs w:val="20"/>
        </w:rPr>
      </w:pPr>
      <w:r w:rsidRPr="00F52AB9">
        <w:rPr>
          <w:rFonts w:cs="Arial"/>
          <w:szCs w:val="20"/>
        </w:rPr>
        <w:t xml:space="preserve">7. One possible simplification method (starter for discussion purposes), is that TMTP could be divided between a number of ‘buckets’. TMTP = [Risk </w:t>
      </w:r>
      <w:proofErr w:type="spellStart"/>
      <w:r w:rsidRPr="00F52AB9">
        <w:rPr>
          <w:rFonts w:cs="Arial"/>
          <w:szCs w:val="20"/>
        </w:rPr>
        <w:t>Margint</w:t>
      </w:r>
      <w:proofErr w:type="spellEnd"/>
      <w:r w:rsidRPr="00F52AB9">
        <w:rPr>
          <w:rFonts w:cs="Arial"/>
          <w:szCs w:val="20"/>
        </w:rPr>
        <w:t xml:space="preserve"> + Interest rate dependent </w:t>
      </w:r>
      <w:proofErr w:type="spellStart"/>
      <w:r w:rsidRPr="00F52AB9">
        <w:rPr>
          <w:rFonts w:cs="Arial"/>
          <w:szCs w:val="20"/>
        </w:rPr>
        <w:t>factorst</w:t>
      </w:r>
      <w:proofErr w:type="spellEnd"/>
      <w:r w:rsidRPr="00F52AB9">
        <w:rPr>
          <w:rFonts w:cs="Arial"/>
          <w:szCs w:val="20"/>
        </w:rPr>
        <w:t xml:space="preserve">] + </w:t>
      </w:r>
      <w:proofErr w:type="spellStart"/>
      <w:r w:rsidRPr="00F52AB9">
        <w:rPr>
          <w:rFonts w:cs="Arial"/>
          <w:szCs w:val="20"/>
        </w:rPr>
        <w:t>constantt</w:t>
      </w:r>
      <w:proofErr w:type="spellEnd"/>
      <w:r w:rsidRPr="00F52AB9">
        <w:rPr>
          <w:rFonts w:cs="Arial"/>
          <w:szCs w:val="20"/>
        </w:rPr>
        <w:t xml:space="preserve"> + other </w:t>
      </w:r>
      <w:proofErr w:type="spellStart"/>
      <w:r w:rsidRPr="00F52AB9">
        <w:rPr>
          <w:rFonts w:cs="Arial"/>
          <w:szCs w:val="20"/>
        </w:rPr>
        <w:t>variablet</w:t>
      </w:r>
      <w:proofErr w:type="spellEnd"/>
      <w:r w:rsidRPr="00F52AB9">
        <w:rPr>
          <w:rFonts w:cs="Arial"/>
          <w:szCs w:val="20"/>
        </w:rPr>
        <w:t xml:space="preserve">. Would the interest dependent factors be closely correlated to the Risk margin? Are the other variable small enough to split into one of the other buckets? If firms could provide an analysis of such an approach, it would be used to test the feasibility of a simplified approach and inform ‘stress testing’. </w:t>
      </w:r>
    </w:p>
    <w:p w14:paraId="531D744B" w14:textId="77777777" w:rsidR="0062665E" w:rsidRPr="00F52AB9" w:rsidRDefault="0062665E" w:rsidP="0062665E">
      <w:pPr>
        <w:autoSpaceDE w:val="0"/>
        <w:autoSpaceDN w:val="0"/>
        <w:adjustRightInd w:val="0"/>
        <w:spacing w:after="254" w:line="240" w:lineRule="auto"/>
        <w:rPr>
          <w:rFonts w:cs="Arial"/>
          <w:szCs w:val="20"/>
        </w:rPr>
      </w:pPr>
      <w:r w:rsidRPr="00F52AB9">
        <w:rPr>
          <w:rFonts w:cs="Arial"/>
          <w:szCs w:val="20"/>
        </w:rPr>
        <w:lastRenderedPageBreak/>
        <w:t xml:space="preserve">8. We do not wish to create another formal approval process but that some form of demonstration of accuracy within tolerance would be appropriate. </w:t>
      </w:r>
    </w:p>
    <w:p w14:paraId="2C03467A" w14:textId="77777777" w:rsidR="0062665E" w:rsidRPr="00F52AB9" w:rsidRDefault="0062665E" w:rsidP="0062665E">
      <w:pPr>
        <w:autoSpaceDE w:val="0"/>
        <w:autoSpaceDN w:val="0"/>
        <w:adjustRightInd w:val="0"/>
        <w:spacing w:after="0" w:line="240" w:lineRule="auto"/>
        <w:rPr>
          <w:rFonts w:cs="Arial"/>
          <w:szCs w:val="20"/>
        </w:rPr>
      </w:pPr>
      <w:r w:rsidRPr="00F52AB9">
        <w:rPr>
          <w:rFonts w:cs="Arial"/>
          <w:szCs w:val="20"/>
        </w:rPr>
        <w:t xml:space="preserve">9. The current idea is that we would develop a set of scenarios and stress tests. Then Firms wanting to use the simplification method would produce a set of figures to demonstrate that under these the figure remains a reasonable approximation. These to be sent to PRA for agreement. </w:t>
      </w:r>
    </w:p>
    <w:p w14:paraId="4816DB5B" w14:textId="77777777" w:rsidR="0062665E" w:rsidRPr="00F52AB9" w:rsidRDefault="0062665E" w:rsidP="0062665E">
      <w:pPr>
        <w:autoSpaceDE w:val="0"/>
        <w:autoSpaceDN w:val="0"/>
        <w:adjustRightInd w:val="0"/>
        <w:spacing w:after="0" w:line="240" w:lineRule="auto"/>
        <w:rPr>
          <w:rFonts w:cs="Arial"/>
          <w:szCs w:val="20"/>
        </w:rPr>
      </w:pPr>
    </w:p>
    <w:p w14:paraId="3F9DF653" w14:textId="77777777" w:rsidR="0062665E" w:rsidRPr="00F52AB9" w:rsidRDefault="0062665E" w:rsidP="0062665E">
      <w:pPr>
        <w:autoSpaceDE w:val="0"/>
        <w:autoSpaceDN w:val="0"/>
        <w:adjustRightInd w:val="0"/>
        <w:spacing w:after="257" w:line="240" w:lineRule="auto"/>
        <w:rPr>
          <w:rFonts w:cs="Arial"/>
          <w:szCs w:val="20"/>
        </w:rPr>
      </w:pPr>
      <w:r w:rsidRPr="00F52AB9">
        <w:rPr>
          <w:rFonts w:cs="Arial"/>
          <w:szCs w:val="20"/>
        </w:rPr>
        <w:t xml:space="preserve">10. Firms should consider the risks arising from a simplified approach to calculating TMTP in their ORSAs, in particular the risk that the simplification results in a significantly higher TMTP than the maximum permitted. </w:t>
      </w:r>
    </w:p>
    <w:p w14:paraId="29FF9C61" w14:textId="77777777" w:rsidR="0062665E" w:rsidRPr="00F52AB9" w:rsidRDefault="0062665E" w:rsidP="0062665E">
      <w:pPr>
        <w:autoSpaceDE w:val="0"/>
        <w:autoSpaceDN w:val="0"/>
        <w:adjustRightInd w:val="0"/>
        <w:spacing w:after="0" w:line="240" w:lineRule="auto"/>
        <w:rPr>
          <w:rFonts w:cs="Arial"/>
          <w:szCs w:val="20"/>
        </w:rPr>
      </w:pPr>
      <w:r w:rsidRPr="00F52AB9">
        <w:rPr>
          <w:rFonts w:cs="Arial"/>
          <w:szCs w:val="20"/>
        </w:rPr>
        <w:t xml:space="preserve">11. The work on this is to proceed concurrently with work on Risk margin. </w:t>
      </w:r>
    </w:p>
    <w:p w14:paraId="01BBEE89" w14:textId="77777777" w:rsidR="0062665E" w:rsidRDefault="0062665E" w:rsidP="0062665E">
      <w:pPr>
        <w:autoSpaceDE w:val="0"/>
        <w:autoSpaceDN w:val="0"/>
        <w:adjustRightInd w:val="0"/>
        <w:spacing w:after="0" w:line="240" w:lineRule="auto"/>
        <w:rPr>
          <w:rFonts w:eastAsia="Consolas" w:cs="Arial"/>
          <w:b/>
          <w:szCs w:val="20"/>
          <w:u w:color="000000"/>
          <w:bdr w:val="nil"/>
          <w:lang w:val="en-US" w:eastAsia="en-GB"/>
        </w:rPr>
      </w:pPr>
    </w:p>
    <w:p w14:paraId="18A042F9" w14:textId="77777777" w:rsidR="0062665E" w:rsidRDefault="0062665E" w:rsidP="0062665E">
      <w:pPr>
        <w:autoSpaceDE w:val="0"/>
        <w:autoSpaceDN w:val="0"/>
        <w:adjustRightInd w:val="0"/>
        <w:spacing w:after="0" w:line="240" w:lineRule="auto"/>
        <w:rPr>
          <w:rFonts w:eastAsia="Consolas" w:cs="Arial"/>
          <w:b/>
          <w:szCs w:val="20"/>
          <w:u w:color="000000"/>
          <w:bdr w:val="nil"/>
          <w:lang w:val="en-US" w:eastAsia="en-GB"/>
        </w:rPr>
      </w:pPr>
    </w:p>
    <w:p w14:paraId="4E1F00FE" w14:textId="77777777" w:rsidR="0062665E" w:rsidRDefault="0062665E" w:rsidP="0062665E">
      <w:pPr>
        <w:autoSpaceDE w:val="0"/>
        <w:autoSpaceDN w:val="0"/>
        <w:adjustRightInd w:val="0"/>
        <w:spacing w:after="0" w:line="240" w:lineRule="auto"/>
        <w:rPr>
          <w:rFonts w:eastAsia="Consolas" w:cs="Arial"/>
          <w:b/>
          <w:szCs w:val="20"/>
          <w:u w:color="000000"/>
          <w:bdr w:val="nil"/>
          <w:lang w:val="en-US" w:eastAsia="en-GB"/>
        </w:rPr>
      </w:pPr>
      <w:r w:rsidRPr="00F52AB9">
        <w:rPr>
          <w:rFonts w:eastAsia="Consolas" w:cs="Arial"/>
          <w:b/>
          <w:szCs w:val="20"/>
          <w:u w:color="000000"/>
          <w:bdr w:val="nil"/>
          <w:lang w:val="en-US" w:eastAsia="en-GB"/>
        </w:rPr>
        <w:t xml:space="preserve">Process </w:t>
      </w:r>
    </w:p>
    <w:p w14:paraId="21BAA6AF" w14:textId="77777777" w:rsidR="0062665E" w:rsidRPr="00F52AB9" w:rsidRDefault="0062665E" w:rsidP="0062665E">
      <w:pPr>
        <w:autoSpaceDE w:val="0"/>
        <w:autoSpaceDN w:val="0"/>
        <w:adjustRightInd w:val="0"/>
        <w:spacing w:after="0" w:line="240" w:lineRule="auto"/>
        <w:rPr>
          <w:rFonts w:eastAsia="Consolas" w:cs="Arial"/>
          <w:b/>
          <w:szCs w:val="20"/>
          <w:u w:color="000000"/>
          <w:bdr w:val="nil"/>
          <w:lang w:val="en-US" w:eastAsia="en-GB"/>
        </w:rPr>
      </w:pPr>
    </w:p>
    <w:p w14:paraId="1675DC41" w14:textId="77777777" w:rsidR="0062665E" w:rsidRDefault="0062665E" w:rsidP="0062665E">
      <w:pPr>
        <w:autoSpaceDE w:val="0"/>
        <w:autoSpaceDN w:val="0"/>
        <w:adjustRightInd w:val="0"/>
        <w:spacing w:after="0" w:line="240" w:lineRule="auto"/>
        <w:rPr>
          <w:rFonts w:cs="Arial"/>
          <w:color w:val="000000"/>
          <w:sz w:val="22"/>
        </w:rPr>
      </w:pPr>
      <w:r w:rsidRPr="0062665E">
        <w:rPr>
          <w:rFonts w:cs="Arial"/>
          <w:color w:val="000000"/>
          <w:sz w:val="22"/>
        </w:rPr>
        <w:t xml:space="preserve">The following process is envisaged </w:t>
      </w:r>
    </w:p>
    <w:p w14:paraId="16A3358A" w14:textId="77777777" w:rsidR="0062665E" w:rsidRPr="0062665E" w:rsidRDefault="0062665E" w:rsidP="0062665E">
      <w:pPr>
        <w:autoSpaceDE w:val="0"/>
        <w:autoSpaceDN w:val="0"/>
        <w:adjustRightInd w:val="0"/>
        <w:spacing w:after="0" w:line="240" w:lineRule="auto"/>
        <w:rPr>
          <w:rFonts w:cs="Arial"/>
          <w:color w:val="000000"/>
          <w:sz w:val="22"/>
        </w:rPr>
      </w:pPr>
    </w:p>
    <w:p w14:paraId="428F6422" w14:textId="77777777" w:rsidR="0062665E" w:rsidRPr="00F52AB9" w:rsidRDefault="0062665E" w:rsidP="0062665E">
      <w:pPr>
        <w:autoSpaceDE w:val="0"/>
        <w:autoSpaceDN w:val="0"/>
        <w:adjustRightInd w:val="0"/>
        <w:spacing w:after="257" w:line="240" w:lineRule="auto"/>
        <w:rPr>
          <w:rFonts w:cs="Arial"/>
          <w:szCs w:val="20"/>
        </w:rPr>
      </w:pPr>
      <w:r w:rsidRPr="00F52AB9">
        <w:rPr>
          <w:rFonts w:cs="Arial"/>
          <w:szCs w:val="20"/>
        </w:rPr>
        <w:t xml:space="preserve">12. During January the PRA will develop proposals </w:t>
      </w:r>
    </w:p>
    <w:p w14:paraId="120140E0" w14:textId="77777777" w:rsidR="0062665E" w:rsidRPr="00F52AB9" w:rsidRDefault="0062665E" w:rsidP="0062665E">
      <w:pPr>
        <w:autoSpaceDE w:val="0"/>
        <w:autoSpaceDN w:val="0"/>
        <w:adjustRightInd w:val="0"/>
        <w:spacing w:after="257" w:line="240" w:lineRule="auto"/>
        <w:rPr>
          <w:rFonts w:cs="Arial"/>
          <w:szCs w:val="20"/>
        </w:rPr>
      </w:pPr>
      <w:r w:rsidRPr="00F52AB9">
        <w:rPr>
          <w:rFonts w:cs="Arial"/>
          <w:szCs w:val="20"/>
        </w:rPr>
        <w:t xml:space="preserve">13. Subject to Governance approval within PRA, a consultation to be issued in February/March </w:t>
      </w:r>
    </w:p>
    <w:p w14:paraId="552280A7" w14:textId="77777777" w:rsidR="0062665E" w:rsidRPr="00F52AB9" w:rsidRDefault="0062665E" w:rsidP="0062665E">
      <w:pPr>
        <w:autoSpaceDE w:val="0"/>
        <w:autoSpaceDN w:val="0"/>
        <w:adjustRightInd w:val="0"/>
        <w:spacing w:after="257" w:line="240" w:lineRule="auto"/>
        <w:rPr>
          <w:rFonts w:cs="Arial"/>
          <w:szCs w:val="20"/>
        </w:rPr>
      </w:pPr>
      <w:r w:rsidRPr="00F52AB9">
        <w:rPr>
          <w:rFonts w:cs="Arial"/>
          <w:szCs w:val="20"/>
        </w:rPr>
        <w:t xml:space="preserve">14. Companies and other interested parties invited to make submissions and normal process to follow. </w:t>
      </w:r>
    </w:p>
    <w:p w14:paraId="27AE781C" w14:textId="77777777" w:rsidR="0062665E" w:rsidRPr="00F52AB9" w:rsidRDefault="0062665E" w:rsidP="0062665E">
      <w:pPr>
        <w:autoSpaceDE w:val="0"/>
        <w:autoSpaceDN w:val="0"/>
        <w:adjustRightInd w:val="0"/>
        <w:spacing w:after="257" w:line="240" w:lineRule="auto"/>
        <w:rPr>
          <w:rFonts w:cs="Arial"/>
          <w:szCs w:val="20"/>
        </w:rPr>
      </w:pPr>
      <w:r w:rsidRPr="00F52AB9">
        <w:rPr>
          <w:rFonts w:cs="Arial"/>
          <w:szCs w:val="20"/>
        </w:rPr>
        <w:t xml:space="preserve">15. Any policy statement, supervisory statement </w:t>
      </w:r>
      <w:proofErr w:type="spellStart"/>
      <w:r w:rsidRPr="00F52AB9">
        <w:rPr>
          <w:rFonts w:cs="Arial"/>
          <w:szCs w:val="20"/>
        </w:rPr>
        <w:t>etc</w:t>
      </w:r>
      <w:proofErr w:type="spellEnd"/>
      <w:r w:rsidRPr="00F52AB9">
        <w:rPr>
          <w:rFonts w:cs="Arial"/>
          <w:szCs w:val="20"/>
        </w:rPr>
        <w:t xml:space="preserve"> intended to be issued before end of year 2018 </w:t>
      </w:r>
    </w:p>
    <w:p w14:paraId="6B42A429" w14:textId="77777777" w:rsidR="0062665E" w:rsidRPr="00F52AB9" w:rsidRDefault="0062665E" w:rsidP="0062665E">
      <w:pPr>
        <w:autoSpaceDE w:val="0"/>
        <w:autoSpaceDN w:val="0"/>
        <w:adjustRightInd w:val="0"/>
        <w:spacing w:after="0" w:line="240" w:lineRule="auto"/>
        <w:rPr>
          <w:rFonts w:cs="Arial"/>
          <w:szCs w:val="20"/>
        </w:rPr>
      </w:pPr>
      <w:r w:rsidRPr="00F52AB9">
        <w:rPr>
          <w:rFonts w:cs="Arial"/>
          <w:szCs w:val="20"/>
        </w:rPr>
        <w:t xml:space="preserve">16. Any recalculations necessary before PRA issues policy statement to be done fully. After that companies can submit simplification proposals when recalculations are needed or beforehand, noting that PRA expects all firms to recalculate at next 2 year point (31/12/19). </w:t>
      </w:r>
    </w:p>
    <w:p w14:paraId="52489D25" w14:textId="77777777" w:rsidR="00000000" w:rsidRPr="00F52AB9" w:rsidRDefault="00F52AB9" w:rsidP="00F52AB9">
      <w:pPr>
        <w:rPr>
          <w:rFonts w:cs="Arial"/>
          <w:b/>
          <w:szCs w:val="20"/>
          <w:u w:val="single"/>
        </w:rPr>
        <w:sectPr w:rsidR="00000000" w:rsidRPr="00F52AB9" w:rsidSect="0065180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021" w:left="1440" w:header="709" w:footer="709" w:gutter="0"/>
          <w:cols w:space="708"/>
          <w:titlePg/>
          <w:docGrid w:linePitch="360"/>
        </w:sectPr>
      </w:pPr>
    </w:p>
    <w:tbl>
      <w:tblPr>
        <w:tblStyle w:val="TableGrid"/>
        <w:tblpPr w:leftFromText="180" w:rightFromText="180" w:vertAnchor="page" w:horzAnchor="margin" w:tblpY="3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4"/>
      </w:tblGrid>
      <w:tr w:rsidR="00404DA5" w:rsidRPr="00BA33BC" w14:paraId="7B915CEB" w14:textId="77777777" w:rsidTr="005D4732">
        <w:trPr>
          <w:trHeight w:val="5400"/>
        </w:trPr>
        <w:tc>
          <w:tcPr>
            <w:tcW w:w="9124" w:type="dxa"/>
            <w:tcMar>
              <w:top w:w="113" w:type="dxa"/>
            </w:tcMar>
          </w:tcPr>
          <w:p w14:paraId="6348D146" w14:textId="77777777" w:rsidR="00404DA5" w:rsidRPr="00BA33BC" w:rsidRDefault="00404DA5" w:rsidP="00F10BAE">
            <w:pPr>
              <w:pStyle w:val="backcoverbodycopy"/>
              <w:framePr w:hSpace="0" w:wrap="auto" w:vAnchor="margin" w:hAnchor="text" w:xAlign="left" w:yAlign="inline"/>
              <w:jc w:val="both"/>
              <w:rPr>
                <w:color w:val="auto"/>
                <w:sz w:val="18"/>
                <w:szCs w:val="18"/>
              </w:rPr>
            </w:pPr>
          </w:p>
        </w:tc>
      </w:tr>
      <w:tr w:rsidR="00404DA5" w:rsidRPr="00BA33BC" w14:paraId="003D1E8B" w14:textId="77777777" w:rsidTr="005D4732">
        <w:trPr>
          <w:trHeight w:val="5094"/>
        </w:trPr>
        <w:tc>
          <w:tcPr>
            <w:tcW w:w="9124" w:type="dxa"/>
            <w:vAlign w:val="bottom"/>
          </w:tcPr>
          <w:p w14:paraId="12A69231" w14:textId="77777777" w:rsidR="00404DA5" w:rsidRPr="00BA33BC" w:rsidRDefault="00404DA5" w:rsidP="00F10BAE">
            <w:pPr>
              <w:pStyle w:val="CityName"/>
              <w:framePr w:hSpace="0" w:wrap="auto" w:vAnchor="margin" w:hAnchor="text" w:xAlign="left" w:yAlign="inline"/>
              <w:jc w:val="both"/>
              <w:rPr>
                <w:color w:val="auto"/>
              </w:rPr>
            </w:pPr>
            <w:r w:rsidRPr="00BA33BC">
              <w:rPr>
                <w:color w:val="auto"/>
              </w:rPr>
              <w:t>London</w:t>
            </w:r>
          </w:p>
          <w:p w14:paraId="1B432E28" w14:textId="77777777" w:rsidR="00404DA5" w:rsidRPr="00BA33BC" w:rsidRDefault="00404DA5" w:rsidP="00F10BAE">
            <w:pPr>
              <w:pStyle w:val="CityAddress"/>
              <w:framePr w:hSpace="0" w:wrap="auto" w:vAnchor="margin" w:hAnchor="text" w:xAlign="left" w:yAlign="inline"/>
              <w:jc w:val="both"/>
              <w:rPr>
                <w:color w:val="auto"/>
              </w:rPr>
            </w:pPr>
            <w:r w:rsidRPr="00BA33BC">
              <w:rPr>
                <w:color w:val="auto"/>
              </w:rPr>
              <w:t>7</w:t>
            </w:r>
            <w:r w:rsidRPr="00BA33BC">
              <w:rPr>
                <w:color w:val="auto"/>
                <w:vertAlign w:val="superscript"/>
              </w:rPr>
              <w:t>th</w:t>
            </w:r>
            <w:r w:rsidRPr="00BA33BC">
              <w:rPr>
                <w:color w:val="auto"/>
              </w:rPr>
              <w:t xml:space="preserve"> Floor · Holborn Gate · 326-330 High Holborn · London · WC1V 7PP </w:t>
            </w:r>
            <w:r w:rsidRPr="00BA33BC">
              <w:rPr>
                <w:color w:val="auto"/>
              </w:rPr>
              <w:br/>
              <w:t>Tel: +44 (0) 20 7632 2100 · Fax: +44 (0) 20 7632 2111</w:t>
            </w:r>
          </w:p>
          <w:p w14:paraId="7B4E6B86" w14:textId="77777777" w:rsidR="00404DA5" w:rsidRPr="00BA33BC" w:rsidRDefault="00404DA5" w:rsidP="00F10BAE">
            <w:pPr>
              <w:pStyle w:val="IFOAofficesubtitlesCoverstyles"/>
              <w:jc w:val="both"/>
              <w:rPr>
                <w:rFonts w:ascii="Arial" w:hAnsi="Arial" w:cs="Arial"/>
                <w:color w:val="auto"/>
              </w:rPr>
            </w:pPr>
            <w:r w:rsidRPr="00BA33BC">
              <w:rPr>
                <w:rFonts w:ascii="Arial" w:hAnsi="Arial" w:cs="Arial"/>
                <w:color w:val="auto"/>
              </w:rPr>
              <w:t>Edinburgh</w:t>
            </w:r>
          </w:p>
          <w:p w14:paraId="0A800053" w14:textId="77777777" w:rsidR="00404DA5" w:rsidRPr="00BA33BC" w:rsidRDefault="00404DA5" w:rsidP="00F10BAE">
            <w:pPr>
              <w:pStyle w:val="IFOAaddresscontactdetailsCoverstyles"/>
              <w:jc w:val="both"/>
              <w:rPr>
                <w:rFonts w:ascii="Arial" w:hAnsi="Arial" w:cs="Arial"/>
                <w:color w:val="auto"/>
              </w:rPr>
            </w:pPr>
            <w:r w:rsidRPr="00BA33BC">
              <w:rPr>
                <w:rFonts w:ascii="Arial" w:hAnsi="Arial" w:cs="Arial"/>
                <w:color w:val="auto"/>
              </w:rPr>
              <w:t>Level 2 · Exchange Crescent · 7 Conference Square · Edinburgh · EH3 8RA</w:t>
            </w:r>
            <w:r w:rsidRPr="00BA33BC">
              <w:rPr>
                <w:rFonts w:ascii="Arial" w:hAnsi="Arial" w:cs="Arial"/>
                <w:color w:val="auto"/>
              </w:rPr>
              <w:br/>
              <w:t>Tel: +44 (0) 131 240 1300 · Fax: +44 (0) 131 240 1313</w:t>
            </w:r>
          </w:p>
          <w:p w14:paraId="6B992161" w14:textId="77777777" w:rsidR="00404DA5" w:rsidRPr="00BA33BC" w:rsidRDefault="00404DA5" w:rsidP="00F10BAE">
            <w:pPr>
              <w:pStyle w:val="IFOAofficesubtitlesCoverstyles"/>
              <w:jc w:val="both"/>
              <w:rPr>
                <w:rFonts w:ascii="Arial" w:hAnsi="Arial" w:cs="Arial"/>
                <w:color w:val="auto"/>
              </w:rPr>
            </w:pPr>
            <w:r w:rsidRPr="00BA33BC">
              <w:rPr>
                <w:rFonts w:ascii="Arial" w:hAnsi="Arial" w:cs="Arial"/>
                <w:color w:val="auto"/>
              </w:rPr>
              <w:t>Oxford</w:t>
            </w:r>
          </w:p>
          <w:p w14:paraId="6CA26D0A" w14:textId="77777777" w:rsidR="00404DA5" w:rsidRPr="00BA33BC" w:rsidRDefault="00404DA5" w:rsidP="00F10BAE">
            <w:pPr>
              <w:pStyle w:val="IFOAaddresscontactdetailsCoverstyles"/>
              <w:jc w:val="both"/>
              <w:rPr>
                <w:rFonts w:ascii="Arial" w:hAnsi="Arial" w:cs="Arial"/>
                <w:color w:val="auto"/>
              </w:rPr>
            </w:pPr>
            <w:r w:rsidRPr="00BA33BC">
              <w:rPr>
                <w:rFonts w:ascii="Arial" w:hAnsi="Arial" w:cs="Arial"/>
                <w:color w:val="auto"/>
              </w:rPr>
              <w:t>1</w:t>
            </w:r>
            <w:r w:rsidRPr="00BA33BC">
              <w:rPr>
                <w:rFonts w:ascii="Arial" w:hAnsi="Arial" w:cs="Arial"/>
                <w:color w:val="auto"/>
                <w:vertAlign w:val="superscript"/>
              </w:rPr>
              <w:t>st</w:t>
            </w:r>
            <w:r w:rsidRPr="00BA33BC">
              <w:rPr>
                <w:rFonts w:ascii="Arial" w:hAnsi="Arial" w:cs="Arial"/>
                <w:color w:val="auto"/>
              </w:rPr>
              <w:t xml:space="preserve"> Floor · Park Central · 40/41 Park End Street · Oxford · OX1 1JD</w:t>
            </w:r>
            <w:r w:rsidRPr="00BA33BC">
              <w:rPr>
                <w:rFonts w:ascii="Arial" w:hAnsi="Arial" w:cs="Arial"/>
                <w:color w:val="auto"/>
              </w:rPr>
              <w:br/>
              <w:t>Tel: +44 (0) 1865 268 200 · Fax: +44 (0) 1865 268 211</w:t>
            </w:r>
          </w:p>
          <w:p w14:paraId="2E3DFA91" w14:textId="77777777" w:rsidR="00404DA5" w:rsidRPr="00BA33BC" w:rsidRDefault="00404DA5" w:rsidP="00F10BAE">
            <w:pPr>
              <w:pStyle w:val="IFOAofficesubtitlesCoverstyles"/>
              <w:jc w:val="both"/>
              <w:rPr>
                <w:rFonts w:ascii="Arial" w:hAnsi="Arial" w:cs="Arial"/>
                <w:color w:val="auto"/>
              </w:rPr>
            </w:pPr>
            <w:r w:rsidRPr="00BA33BC">
              <w:rPr>
                <w:rFonts w:ascii="Arial" w:hAnsi="Arial" w:cs="Arial"/>
                <w:color w:val="auto"/>
              </w:rPr>
              <w:t>Beijing</w:t>
            </w:r>
          </w:p>
          <w:p w14:paraId="1AC24FBD" w14:textId="77777777" w:rsidR="00404DA5" w:rsidRPr="00BA33BC" w:rsidRDefault="00404DA5" w:rsidP="00F10BAE">
            <w:pPr>
              <w:pStyle w:val="IFOAaddresscontactdetailsCoverstyles"/>
              <w:jc w:val="both"/>
              <w:rPr>
                <w:rFonts w:ascii="Arial" w:hAnsi="Arial" w:cs="Arial"/>
                <w:b/>
                <w:bCs/>
                <w:color w:val="auto"/>
              </w:rPr>
            </w:pPr>
            <w:r w:rsidRPr="00BA33BC">
              <w:rPr>
                <w:rFonts w:ascii="Arial" w:hAnsi="Arial" w:cs="Arial"/>
                <w:color w:val="auto"/>
              </w:rPr>
              <w:t xml:space="preserve">6/F · Tower 2 · Prosper Centre · 5 </w:t>
            </w:r>
            <w:proofErr w:type="spellStart"/>
            <w:r w:rsidRPr="00BA33BC">
              <w:rPr>
                <w:rFonts w:ascii="Arial" w:hAnsi="Arial" w:cs="Arial"/>
                <w:color w:val="auto"/>
              </w:rPr>
              <w:t>Guanghua</w:t>
            </w:r>
            <w:proofErr w:type="spellEnd"/>
            <w:r w:rsidRPr="00BA33BC">
              <w:rPr>
                <w:rFonts w:ascii="Arial" w:hAnsi="Arial" w:cs="Arial"/>
                <w:color w:val="auto"/>
              </w:rPr>
              <w:t xml:space="preserve"> Road · Chaoyang District · Beijing China 100020</w:t>
            </w:r>
            <w:r w:rsidRPr="00BA33BC">
              <w:rPr>
                <w:rFonts w:ascii="Arial" w:hAnsi="Arial" w:cs="Arial"/>
                <w:color w:val="auto"/>
              </w:rPr>
              <w:br/>
              <w:t>Tel: +86 (10) 8573 1000 · Fax: +86 (10) 8573 1100</w:t>
            </w:r>
          </w:p>
          <w:p w14:paraId="2B79CEF1" w14:textId="77777777" w:rsidR="00404DA5" w:rsidRPr="00BA33BC" w:rsidRDefault="00404DA5" w:rsidP="00F10BAE">
            <w:pPr>
              <w:pStyle w:val="IFOAofficesubtitlesCoverstyles"/>
              <w:spacing w:before="0"/>
              <w:jc w:val="both"/>
              <w:rPr>
                <w:rFonts w:ascii="Arial" w:hAnsi="Arial" w:cs="Arial"/>
                <w:color w:val="auto"/>
                <w:lang w:val="en-US"/>
              </w:rPr>
            </w:pPr>
            <w:r w:rsidRPr="00BA33BC">
              <w:rPr>
                <w:rFonts w:ascii="Arial" w:hAnsi="Arial" w:cs="Arial"/>
                <w:color w:val="auto"/>
                <w:lang w:val="en-US"/>
              </w:rPr>
              <w:t>Hong Kong</w:t>
            </w:r>
          </w:p>
          <w:p w14:paraId="7B04BFC0" w14:textId="77777777" w:rsidR="00404DA5" w:rsidRPr="00BA33BC" w:rsidRDefault="00404DA5" w:rsidP="00F10BAE">
            <w:pPr>
              <w:jc w:val="both"/>
              <w:rPr>
                <w:rFonts w:cs="Arial"/>
                <w:b/>
                <w:sz w:val="17"/>
                <w:szCs w:val="17"/>
              </w:rPr>
            </w:pPr>
            <w:r w:rsidRPr="00BA33BC">
              <w:rPr>
                <w:rFonts w:cs="Arial"/>
                <w:sz w:val="17"/>
                <w:szCs w:val="17"/>
              </w:rPr>
              <w:t>2202 Tower Two · Lippo Centre · 89 Queensway · Hong Kong</w:t>
            </w:r>
            <w:r w:rsidRPr="00BA33BC">
              <w:rPr>
                <w:rFonts w:cs="Arial"/>
                <w:sz w:val="17"/>
                <w:szCs w:val="17"/>
              </w:rPr>
              <w:br/>
              <w:t>Tel: +11 (0) 852 2147 9418 · Fax: +11 (0) 852 2147 2497</w:t>
            </w:r>
          </w:p>
        </w:tc>
      </w:tr>
      <w:tr w:rsidR="00404DA5" w:rsidRPr="00BA33BC" w14:paraId="060A2A92" w14:textId="77777777" w:rsidTr="005D4732">
        <w:trPr>
          <w:trHeight w:val="1711"/>
        </w:trPr>
        <w:tc>
          <w:tcPr>
            <w:tcW w:w="9124" w:type="dxa"/>
            <w:vAlign w:val="bottom"/>
          </w:tcPr>
          <w:p w14:paraId="43C95C4A" w14:textId="77777777" w:rsidR="00404DA5" w:rsidRPr="00BA33BC" w:rsidRDefault="00F52AB9" w:rsidP="00F10BAE">
            <w:pPr>
              <w:pStyle w:val="Webaddress"/>
              <w:jc w:val="both"/>
              <w:rPr>
                <w:color w:val="auto"/>
              </w:rPr>
            </w:pPr>
            <w:hyperlink r:id="rId16" w:history="1">
              <w:r w:rsidR="00404DA5" w:rsidRPr="00BA33BC">
                <w:rPr>
                  <w:rStyle w:val="Hyperlink"/>
                  <w:color w:val="auto"/>
                  <w:u w:val="none"/>
                </w:rPr>
                <w:t>www.actuaries.org.uk</w:t>
              </w:r>
            </w:hyperlink>
          </w:p>
          <w:p w14:paraId="1EE659A7" w14:textId="77777777" w:rsidR="00404DA5" w:rsidRPr="00BA33BC" w:rsidRDefault="00404DA5" w:rsidP="00F10BAE">
            <w:pPr>
              <w:pStyle w:val="CityName"/>
              <w:framePr w:hSpace="0" w:wrap="auto" w:vAnchor="margin" w:hAnchor="text" w:xAlign="left" w:yAlign="inline"/>
              <w:spacing w:before="0" w:after="0" w:line="240" w:lineRule="auto"/>
              <w:jc w:val="both"/>
              <w:rPr>
                <w:color w:val="auto"/>
                <w:sz w:val="14"/>
                <w:szCs w:val="14"/>
              </w:rPr>
            </w:pPr>
            <w:r w:rsidRPr="00BA33BC">
              <w:rPr>
                <w:color w:val="auto"/>
                <w:sz w:val="14"/>
                <w:szCs w:val="14"/>
              </w:rPr>
              <w:t>© 2015 Institute and Faculty of Actuaries</w:t>
            </w:r>
          </w:p>
        </w:tc>
      </w:tr>
    </w:tbl>
    <w:p w14:paraId="4F0FE0C8" w14:textId="77777777" w:rsidR="00CC45F4" w:rsidRPr="00BA33BC" w:rsidRDefault="00CC45F4" w:rsidP="00F10BAE">
      <w:pPr>
        <w:jc w:val="both"/>
      </w:pPr>
    </w:p>
    <w:sectPr w:rsidR="00CC45F4" w:rsidRPr="00BA33BC" w:rsidSect="00CC45F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021"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A37C7" w15:done="0"/>
  <w15:commentEx w15:paraId="01CDDD8A" w15:done="0"/>
  <w15:commentEx w15:paraId="24DA2757" w15:done="0"/>
  <w15:commentEx w15:paraId="738A112E" w15:done="0"/>
  <w15:commentEx w15:paraId="72543628" w15:done="0"/>
  <w15:commentEx w15:paraId="7FB55E20" w15:done="0"/>
  <w15:commentEx w15:paraId="4CE7A636" w15:done="0"/>
  <w15:commentEx w15:paraId="021A14F2" w15:done="0"/>
  <w15:commentEx w15:paraId="4396AF84" w15:done="0"/>
  <w15:commentEx w15:paraId="447A13B3" w15:done="0"/>
  <w15:commentEx w15:paraId="5B4792A4" w15:done="0"/>
  <w15:commentEx w15:paraId="7E725FA6" w15:done="0"/>
  <w15:commentEx w15:paraId="0C749D48" w15:done="0"/>
  <w15:commentEx w15:paraId="50E5BAFE" w15:done="0"/>
  <w15:commentEx w15:paraId="34CB4674" w15:done="0"/>
  <w15:commentEx w15:paraId="3272BFEF" w15:done="0"/>
  <w15:commentEx w15:paraId="3BE5BA5C" w15:done="0"/>
  <w15:commentEx w15:paraId="7526ABCE" w15:done="0"/>
  <w15:commentEx w15:paraId="3664921A" w15:done="0"/>
  <w15:commentEx w15:paraId="16225464" w15:done="0"/>
  <w15:commentEx w15:paraId="697A9278" w15:done="0"/>
  <w15:commentEx w15:paraId="07B78D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52F15" w14:textId="77777777" w:rsidR="006517BD" w:rsidRDefault="006517BD" w:rsidP="00361531">
      <w:pPr>
        <w:spacing w:after="0" w:line="240" w:lineRule="auto"/>
      </w:pPr>
      <w:r>
        <w:separator/>
      </w:r>
    </w:p>
  </w:endnote>
  <w:endnote w:type="continuationSeparator" w:id="0">
    <w:p w14:paraId="627264B7" w14:textId="77777777" w:rsidR="006517BD" w:rsidRDefault="006517BD" w:rsidP="00361531">
      <w:pPr>
        <w:spacing w:after="0" w:line="240" w:lineRule="auto"/>
      </w:pPr>
      <w:r>
        <w:continuationSeparator/>
      </w:r>
    </w:p>
  </w:endnote>
  <w:endnote w:type="continuationNotice" w:id="1">
    <w:p w14:paraId="4FAEC2DB" w14:textId="77777777" w:rsidR="006517BD" w:rsidRDefault="006517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Arial"/>
    <w:panose1 w:val="00000000000000000000"/>
    <w:charset w:val="00"/>
    <w:family w:val="modern"/>
    <w:notTrueType/>
    <w:pitch w:val="variable"/>
    <w:sig w:usb0="00000001" w:usb1="4000004A" w:usb2="00000000" w:usb3="00000000" w:csb0="0000009B" w:csb1="00000000"/>
  </w:font>
  <w:font w:name="Consolas">
    <w:panose1 w:val="020B0609020204030204"/>
    <w:charset w:val="00"/>
    <w:family w:val="modern"/>
    <w:pitch w:val="fixed"/>
    <w:sig w:usb0="E10002FF" w:usb1="4000FCFF" w:usb2="00000009" w:usb3="00000000" w:csb0="0000019F" w:csb1="00000000"/>
  </w:font>
  <w:font w:name="Arabic Typesetting">
    <w:altName w:val="Courier New"/>
    <w:panose1 w:val="03020402040406030203"/>
    <w:charset w:val="00"/>
    <w:family w:val="script"/>
    <w:pitch w:val="variable"/>
    <w:sig w:usb0="A000206F" w:usb1="C0000000" w:usb2="00000008" w:usb3="00000000" w:csb0="000000D3" w:csb1="00000000"/>
  </w:font>
  <w:font w:name="Pru Sans Normal">
    <w:altName w:val="Times New Roman"/>
    <w:charset w:val="00"/>
    <w:family w:val="auto"/>
    <w:pitch w:val="variable"/>
    <w:sig w:usb0="00000003" w:usb1="000018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88AAD" w14:textId="77777777" w:rsidR="006517BD" w:rsidRPr="00830560" w:rsidRDefault="00F52AB9" w:rsidP="00C61108">
    <w:pPr>
      <w:pStyle w:val="Footer"/>
      <w:jc w:val="right"/>
      <w:rPr>
        <w:rFonts w:cs="Arial"/>
        <w:sz w:val="16"/>
        <w:szCs w:val="16"/>
      </w:rPr>
    </w:pPr>
    <w:sdt>
      <w:sdtPr>
        <w:rPr>
          <w:rFonts w:cs="Arial"/>
          <w:sz w:val="16"/>
          <w:szCs w:val="16"/>
        </w:rPr>
        <w:id w:val="-1565559741"/>
        <w:docPartObj>
          <w:docPartGallery w:val="Page Numbers (Bottom of Page)"/>
          <w:docPartUnique/>
        </w:docPartObj>
      </w:sdtPr>
      <w:sdtEndPr/>
      <w:sdtContent>
        <w:sdt>
          <w:sdtPr>
            <w:rPr>
              <w:rFonts w:cs="Arial"/>
              <w:sz w:val="16"/>
              <w:szCs w:val="16"/>
            </w:rPr>
            <w:id w:val="-1682582929"/>
            <w:docPartObj>
              <w:docPartGallery w:val="Page Numbers (Top of Page)"/>
              <w:docPartUnique/>
            </w:docPartObj>
          </w:sdtPr>
          <w:sdtEndPr/>
          <w:sdtContent>
            <w:r w:rsidR="006517BD" w:rsidRPr="00830560">
              <w:rPr>
                <w:rFonts w:cs="Arial"/>
                <w:sz w:val="16"/>
                <w:szCs w:val="16"/>
              </w:rPr>
              <w:t xml:space="preserve">Page </w:t>
            </w:r>
            <w:r w:rsidR="006517BD" w:rsidRPr="00830560">
              <w:rPr>
                <w:rFonts w:cs="Arial"/>
                <w:b/>
                <w:bCs/>
                <w:sz w:val="16"/>
                <w:szCs w:val="16"/>
              </w:rPr>
              <w:fldChar w:fldCharType="begin"/>
            </w:r>
            <w:r w:rsidR="006517BD" w:rsidRPr="00830560">
              <w:rPr>
                <w:rFonts w:cs="Arial"/>
                <w:b/>
                <w:bCs/>
                <w:sz w:val="16"/>
                <w:szCs w:val="16"/>
              </w:rPr>
              <w:instrText xml:space="preserve"> PAGE </w:instrText>
            </w:r>
            <w:r w:rsidR="006517BD" w:rsidRPr="00830560">
              <w:rPr>
                <w:rFonts w:cs="Arial"/>
                <w:b/>
                <w:bCs/>
                <w:sz w:val="16"/>
                <w:szCs w:val="16"/>
              </w:rPr>
              <w:fldChar w:fldCharType="separate"/>
            </w:r>
            <w:r>
              <w:rPr>
                <w:rFonts w:cs="Arial"/>
                <w:b/>
                <w:bCs/>
                <w:noProof/>
                <w:sz w:val="16"/>
                <w:szCs w:val="16"/>
              </w:rPr>
              <w:t>14</w:t>
            </w:r>
            <w:r w:rsidR="006517BD" w:rsidRPr="00830560">
              <w:rPr>
                <w:rFonts w:cs="Arial"/>
                <w:b/>
                <w:bCs/>
                <w:sz w:val="16"/>
                <w:szCs w:val="16"/>
              </w:rPr>
              <w:fldChar w:fldCharType="end"/>
            </w:r>
            <w:r w:rsidR="006517BD" w:rsidRPr="00830560">
              <w:rPr>
                <w:rFonts w:cs="Arial"/>
                <w:sz w:val="16"/>
                <w:szCs w:val="16"/>
              </w:rPr>
              <w:t xml:space="preserve"> of </w:t>
            </w:r>
            <w:r w:rsidR="006517BD" w:rsidRPr="00830560">
              <w:rPr>
                <w:rFonts w:cs="Arial"/>
                <w:b/>
                <w:bCs/>
                <w:sz w:val="16"/>
                <w:szCs w:val="16"/>
              </w:rPr>
              <w:fldChar w:fldCharType="begin"/>
            </w:r>
            <w:r w:rsidR="006517BD" w:rsidRPr="00830560">
              <w:rPr>
                <w:rFonts w:cs="Arial"/>
                <w:b/>
                <w:bCs/>
                <w:sz w:val="16"/>
                <w:szCs w:val="16"/>
              </w:rPr>
              <w:instrText xml:space="preserve"> NUMPAGES  </w:instrText>
            </w:r>
            <w:r w:rsidR="006517BD" w:rsidRPr="00830560">
              <w:rPr>
                <w:rFonts w:cs="Arial"/>
                <w:b/>
                <w:bCs/>
                <w:sz w:val="16"/>
                <w:szCs w:val="16"/>
              </w:rPr>
              <w:fldChar w:fldCharType="separate"/>
            </w:r>
            <w:r>
              <w:rPr>
                <w:rFonts w:cs="Arial"/>
                <w:b/>
                <w:bCs/>
                <w:noProof/>
                <w:sz w:val="16"/>
                <w:szCs w:val="16"/>
              </w:rPr>
              <w:t>15</w:t>
            </w:r>
            <w:r w:rsidR="006517BD" w:rsidRPr="00830560">
              <w:rPr>
                <w:rFonts w:cs="Arial"/>
                <w:b/>
                <w:bCs/>
                <w:sz w:val="16"/>
                <w:szCs w:val="16"/>
              </w:rPr>
              <w:fldChar w:fldCharType="end"/>
            </w:r>
          </w:sdtContent>
        </w:sdt>
      </w:sdtContent>
    </w:sdt>
  </w:p>
  <w:p w14:paraId="1505E15B" w14:textId="77777777" w:rsidR="006517BD" w:rsidRDefault="006517BD" w:rsidP="00ED7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9B0A" w14:textId="2423ADF9" w:rsidR="006517BD" w:rsidRPr="00830560" w:rsidRDefault="00F52AB9" w:rsidP="00C61108">
    <w:pPr>
      <w:pStyle w:val="Footer"/>
      <w:jc w:val="right"/>
      <w:rPr>
        <w:rFonts w:cs="Arial"/>
        <w:sz w:val="16"/>
        <w:szCs w:val="16"/>
      </w:rPr>
    </w:pPr>
    <w:sdt>
      <w:sdtPr>
        <w:rPr>
          <w:rFonts w:cs="Arial"/>
          <w:sz w:val="16"/>
          <w:szCs w:val="16"/>
        </w:rPr>
        <w:id w:val="1409889081"/>
        <w:docPartObj>
          <w:docPartGallery w:val="Page Numbers (Bottom of Page)"/>
          <w:docPartUnique/>
        </w:docPartObj>
      </w:sdtPr>
      <w:sdtEndPr/>
      <w:sdtContent>
        <w:sdt>
          <w:sdtPr>
            <w:rPr>
              <w:rFonts w:cs="Arial"/>
              <w:sz w:val="16"/>
              <w:szCs w:val="16"/>
            </w:rPr>
            <w:id w:val="1624492843"/>
            <w:docPartObj>
              <w:docPartGallery w:val="Page Numbers (Top of Page)"/>
              <w:docPartUnique/>
            </w:docPartObj>
          </w:sdtPr>
          <w:sdtEndPr/>
          <w:sdtContent>
            <w:r w:rsidR="006517BD" w:rsidRPr="00830560">
              <w:rPr>
                <w:rFonts w:cs="Arial"/>
                <w:sz w:val="16"/>
                <w:szCs w:val="16"/>
              </w:rPr>
              <w:t xml:space="preserve">Page </w:t>
            </w:r>
            <w:r w:rsidR="006517BD" w:rsidRPr="00830560">
              <w:rPr>
                <w:rFonts w:cs="Arial"/>
                <w:b/>
                <w:bCs/>
                <w:sz w:val="16"/>
                <w:szCs w:val="16"/>
              </w:rPr>
              <w:fldChar w:fldCharType="begin"/>
            </w:r>
            <w:r w:rsidR="006517BD" w:rsidRPr="00830560">
              <w:rPr>
                <w:rFonts w:cs="Arial"/>
                <w:b/>
                <w:bCs/>
                <w:sz w:val="16"/>
                <w:szCs w:val="16"/>
              </w:rPr>
              <w:instrText xml:space="preserve"> PAGE </w:instrText>
            </w:r>
            <w:r w:rsidR="006517BD" w:rsidRPr="00830560">
              <w:rPr>
                <w:rFonts w:cs="Arial"/>
                <w:b/>
                <w:bCs/>
                <w:sz w:val="16"/>
                <w:szCs w:val="16"/>
              </w:rPr>
              <w:fldChar w:fldCharType="separate"/>
            </w:r>
            <w:r>
              <w:rPr>
                <w:rFonts w:cs="Arial"/>
                <w:b/>
                <w:bCs/>
                <w:noProof/>
                <w:sz w:val="16"/>
                <w:szCs w:val="16"/>
              </w:rPr>
              <w:t>13</w:t>
            </w:r>
            <w:r w:rsidR="006517BD" w:rsidRPr="00830560">
              <w:rPr>
                <w:rFonts w:cs="Arial"/>
                <w:b/>
                <w:bCs/>
                <w:sz w:val="16"/>
                <w:szCs w:val="16"/>
              </w:rPr>
              <w:fldChar w:fldCharType="end"/>
            </w:r>
            <w:r w:rsidR="006517BD" w:rsidRPr="00830560">
              <w:rPr>
                <w:rFonts w:cs="Arial"/>
                <w:sz w:val="16"/>
                <w:szCs w:val="16"/>
              </w:rPr>
              <w:t xml:space="preserve"> of </w:t>
            </w:r>
            <w:r w:rsidR="006517BD" w:rsidRPr="00830560">
              <w:rPr>
                <w:rFonts w:cs="Arial"/>
                <w:b/>
                <w:bCs/>
                <w:sz w:val="16"/>
                <w:szCs w:val="16"/>
              </w:rPr>
              <w:fldChar w:fldCharType="begin"/>
            </w:r>
            <w:r w:rsidR="006517BD" w:rsidRPr="00830560">
              <w:rPr>
                <w:rFonts w:cs="Arial"/>
                <w:b/>
                <w:bCs/>
                <w:sz w:val="16"/>
                <w:szCs w:val="16"/>
              </w:rPr>
              <w:instrText xml:space="preserve"> NUMPAGES  </w:instrText>
            </w:r>
            <w:r w:rsidR="006517BD" w:rsidRPr="00830560">
              <w:rPr>
                <w:rFonts w:cs="Arial"/>
                <w:b/>
                <w:bCs/>
                <w:sz w:val="16"/>
                <w:szCs w:val="16"/>
              </w:rPr>
              <w:fldChar w:fldCharType="separate"/>
            </w:r>
            <w:r>
              <w:rPr>
                <w:rFonts w:cs="Arial"/>
                <w:b/>
                <w:bCs/>
                <w:noProof/>
                <w:sz w:val="16"/>
                <w:szCs w:val="16"/>
              </w:rPr>
              <w:t>15</w:t>
            </w:r>
            <w:r w:rsidR="006517BD" w:rsidRPr="00830560">
              <w:rPr>
                <w:rFonts w:cs="Arial"/>
                <w:b/>
                <w:bCs/>
                <w:sz w:val="16"/>
                <w:szCs w:val="16"/>
              </w:rPr>
              <w:fldChar w:fldCharType="end"/>
            </w:r>
          </w:sdtContent>
        </w:sdt>
      </w:sdtContent>
    </w:sdt>
  </w:p>
  <w:p w14:paraId="6D0F3E41" w14:textId="77777777" w:rsidR="006517BD" w:rsidRPr="00830560" w:rsidRDefault="006517BD" w:rsidP="005D36D6">
    <w:pPr>
      <w:pStyle w:val="Footer"/>
      <w:jc w:val="center"/>
      <w:rPr>
        <w:rFonts w:ascii="Arabic Typesetting" w:hAnsi="Arabic Typesetting" w:cs="Arabic Typesettin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FC28E" w14:textId="0B1446FC" w:rsidR="006517BD" w:rsidRPr="005D36D6" w:rsidRDefault="006517BD" w:rsidP="005D36D6">
    <w:pPr>
      <w:pStyle w:val="Footer"/>
      <w:jc w:val="center"/>
      <w:rPr>
        <w:rFonts w:ascii="Pru Sans Normal" w:hAnsi="Pru Sans Normal"/>
        <w:color w:val="000000"/>
      </w:rPr>
    </w:pPr>
    <w:r>
      <w:fldChar w:fldCharType="begin" w:fldLock="1"/>
    </w:r>
    <w:r>
      <w:instrText xml:space="preserve"> DOCPROPERTY bjFooterFirstPageDocProperty \* MERGEFORMAT </w:instrText>
    </w:r>
    <w:r>
      <w:fldChar w:fldCharType="separate"/>
    </w:r>
  </w:p>
  <w:p w14:paraId="6F65DD91" w14:textId="72F1F4B5" w:rsidR="006517BD" w:rsidRDefault="006517BD" w:rsidP="00ED72E6">
    <w:pPr>
      <w:pStyle w:val="Footer"/>
    </w:pPr>
    <w:r w:rsidRPr="005D36D6">
      <w:rPr>
        <w:rFonts w:ascii="Times New Roman" w:hAnsi="Times New Roman" w:cs="Times New Roman"/>
        <w:color w:val="000000"/>
        <w:sz w:val="24"/>
      </w:rPr>
      <w:t xml:space="preserve"> </w:t>
    </w:r>
    <w:r>
      <w:fldChar w:fldCharType="end"/>
    </w:r>
    <w:bookmarkStart w:id="1" w:name="TITUS1FooterFirstPage"/>
    <w:r w:rsidRPr="00ED72E6">
      <w:rPr>
        <w:rFonts w:cs="Arial"/>
        <w:color w:val="000000"/>
        <w:sz w:val="16"/>
      </w:rPr>
      <w:t xml:space="preserve">Aviva: </w:t>
    </w:r>
    <w:r w:rsidRPr="00ED72E6">
      <w:rPr>
        <w:rFonts w:cs="Arial"/>
        <w:color w:val="003DA5"/>
        <w:sz w:val="16"/>
      </w:rPr>
      <w:t>Internal</w:t>
    </w:r>
  </w:p>
  <w:bookmarkEnd w:id="1"/>
  <w:p w14:paraId="3CEEB682" w14:textId="77777777" w:rsidR="006517BD" w:rsidRDefault="006517BD" w:rsidP="001F00C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E801" w14:textId="77777777" w:rsidR="006517BD" w:rsidRPr="00830560" w:rsidRDefault="00F52AB9" w:rsidP="00C61108">
    <w:pPr>
      <w:pStyle w:val="Footer"/>
      <w:jc w:val="right"/>
      <w:rPr>
        <w:rFonts w:cs="Arial"/>
        <w:sz w:val="16"/>
        <w:szCs w:val="16"/>
      </w:rPr>
    </w:pPr>
    <w:sdt>
      <w:sdtPr>
        <w:rPr>
          <w:rFonts w:cs="Arial"/>
          <w:sz w:val="16"/>
          <w:szCs w:val="16"/>
        </w:rPr>
        <w:id w:val="1703203998"/>
        <w:docPartObj>
          <w:docPartGallery w:val="Page Numbers (Bottom of Page)"/>
          <w:docPartUnique/>
        </w:docPartObj>
      </w:sdtPr>
      <w:sdtEndPr/>
      <w:sdtContent>
        <w:sdt>
          <w:sdtPr>
            <w:rPr>
              <w:rFonts w:cs="Arial"/>
              <w:sz w:val="16"/>
              <w:szCs w:val="16"/>
            </w:rPr>
            <w:id w:val="296961461"/>
            <w:docPartObj>
              <w:docPartGallery w:val="Page Numbers (Top of Page)"/>
              <w:docPartUnique/>
            </w:docPartObj>
          </w:sdtPr>
          <w:sdtEndPr/>
          <w:sdtContent>
            <w:r w:rsidR="006517BD" w:rsidRPr="00830560">
              <w:rPr>
                <w:rFonts w:cs="Arial"/>
                <w:sz w:val="16"/>
                <w:szCs w:val="16"/>
              </w:rPr>
              <w:t xml:space="preserve">Page </w:t>
            </w:r>
            <w:r w:rsidR="006517BD" w:rsidRPr="00830560">
              <w:rPr>
                <w:rFonts w:cs="Arial"/>
                <w:b/>
                <w:bCs/>
                <w:sz w:val="16"/>
                <w:szCs w:val="16"/>
              </w:rPr>
              <w:fldChar w:fldCharType="begin"/>
            </w:r>
            <w:r w:rsidR="006517BD" w:rsidRPr="00830560">
              <w:rPr>
                <w:rFonts w:cs="Arial"/>
                <w:b/>
                <w:bCs/>
                <w:sz w:val="16"/>
                <w:szCs w:val="16"/>
              </w:rPr>
              <w:instrText xml:space="preserve"> PAGE </w:instrText>
            </w:r>
            <w:r w:rsidR="006517BD" w:rsidRPr="00830560">
              <w:rPr>
                <w:rFonts w:cs="Arial"/>
                <w:b/>
                <w:bCs/>
                <w:sz w:val="16"/>
                <w:szCs w:val="16"/>
              </w:rPr>
              <w:fldChar w:fldCharType="separate"/>
            </w:r>
            <w:r w:rsidR="006517BD">
              <w:rPr>
                <w:rFonts w:cs="Arial"/>
                <w:b/>
                <w:bCs/>
                <w:noProof/>
                <w:sz w:val="16"/>
                <w:szCs w:val="16"/>
              </w:rPr>
              <w:t>10</w:t>
            </w:r>
            <w:r w:rsidR="006517BD" w:rsidRPr="00830560">
              <w:rPr>
                <w:rFonts w:cs="Arial"/>
                <w:b/>
                <w:bCs/>
                <w:sz w:val="16"/>
                <w:szCs w:val="16"/>
              </w:rPr>
              <w:fldChar w:fldCharType="end"/>
            </w:r>
            <w:r w:rsidR="006517BD" w:rsidRPr="00830560">
              <w:rPr>
                <w:rFonts w:cs="Arial"/>
                <w:sz w:val="16"/>
                <w:szCs w:val="16"/>
              </w:rPr>
              <w:t xml:space="preserve"> of </w:t>
            </w:r>
            <w:r w:rsidR="006517BD" w:rsidRPr="00830560">
              <w:rPr>
                <w:rFonts w:cs="Arial"/>
                <w:b/>
                <w:bCs/>
                <w:sz w:val="16"/>
                <w:szCs w:val="16"/>
              </w:rPr>
              <w:fldChar w:fldCharType="begin"/>
            </w:r>
            <w:r w:rsidR="006517BD" w:rsidRPr="00830560">
              <w:rPr>
                <w:rFonts w:cs="Arial"/>
                <w:b/>
                <w:bCs/>
                <w:sz w:val="16"/>
                <w:szCs w:val="16"/>
              </w:rPr>
              <w:instrText xml:space="preserve"> NUMPAGES  </w:instrText>
            </w:r>
            <w:r w:rsidR="006517BD" w:rsidRPr="00830560">
              <w:rPr>
                <w:rFonts w:cs="Arial"/>
                <w:b/>
                <w:bCs/>
                <w:sz w:val="16"/>
                <w:szCs w:val="16"/>
              </w:rPr>
              <w:fldChar w:fldCharType="separate"/>
            </w:r>
            <w:r w:rsidR="006517BD">
              <w:rPr>
                <w:rFonts w:cs="Arial"/>
                <w:b/>
                <w:bCs/>
                <w:noProof/>
                <w:sz w:val="16"/>
                <w:szCs w:val="16"/>
              </w:rPr>
              <w:t>14</w:t>
            </w:r>
            <w:r w:rsidR="006517BD" w:rsidRPr="00830560">
              <w:rPr>
                <w:rFonts w:cs="Arial"/>
                <w:b/>
                <w:bCs/>
                <w:sz w:val="16"/>
                <w:szCs w:val="16"/>
              </w:rPr>
              <w:fldChar w:fldCharType="end"/>
            </w:r>
          </w:sdtContent>
        </w:sdt>
      </w:sdtContent>
    </w:sdt>
  </w:p>
  <w:p w14:paraId="07C63FBD" w14:textId="77777777" w:rsidR="006517BD" w:rsidRPr="005D36D6" w:rsidRDefault="006517BD" w:rsidP="005D36D6">
    <w:pPr>
      <w:pStyle w:val="Footer"/>
      <w:jc w:val="center"/>
      <w:rPr>
        <w:rFonts w:ascii="Pru Sans Normal" w:hAnsi="Pru Sans Normal" w:cs="Arabic Typesetting"/>
        <w:color w:val="000000"/>
      </w:rPr>
    </w:pPr>
    <w:r>
      <w:rPr>
        <w:rFonts w:ascii="Arabic Typesetting" w:hAnsi="Arabic Typesetting" w:cs="Arabic Typesetting"/>
      </w:rPr>
      <w:fldChar w:fldCharType="begin" w:fldLock="1"/>
    </w:r>
    <w:r>
      <w:rPr>
        <w:rFonts w:ascii="Arabic Typesetting" w:hAnsi="Arabic Typesetting" w:cs="Arabic Typesetting"/>
      </w:rPr>
      <w:instrText xml:space="preserve"> DOCPROPERTY bjFooterBothDocProperty \* MERGEFORMAT </w:instrText>
    </w:r>
    <w:r>
      <w:rPr>
        <w:rFonts w:ascii="Arabic Typesetting" w:hAnsi="Arabic Typesetting" w:cs="Arabic Typesetting"/>
      </w:rPr>
      <w:fldChar w:fldCharType="separate"/>
    </w:r>
    <w:r w:rsidRPr="005D36D6">
      <w:rPr>
        <w:rFonts w:ascii="Pru Sans Normal" w:hAnsi="Pru Sans Normal" w:cs="Arabic Typesetting"/>
        <w:color w:val="000000"/>
      </w:rPr>
      <w:t>Non-Business</w:t>
    </w:r>
  </w:p>
  <w:p w14:paraId="78BC9629" w14:textId="219C4B8E" w:rsidR="006517BD" w:rsidRDefault="006517BD" w:rsidP="00ED72E6">
    <w:pPr>
      <w:spacing w:after="0"/>
    </w:pPr>
    <w:r w:rsidRPr="005D36D6">
      <w:rPr>
        <w:rFonts w:ascii="Times New Roman" w:hAnsi="Times New Roman" w:cs="Times New Roman"/>
        <w:color w:val="000000"/>
        <w:sz w:val="24"/>
      </w:rPr>
      <w:t xml:space="preserve"> </w:t>
    </w:r>
    <w:r>
      <w:rPr>
        <w:rFonts w:ascii="Arabic Typesetting" w:hAnsi="Arabic Typesetting" w:cs="Arabic Typesetting"/>
      </w:rPr>
      <w:fldChar w:fldCharType="end"/>
    </w:r>
    <w:r w:rsidRPr="00ED72E6">
      <w:rPr>
        <w:rFonts w:cs="Arial"/>
        <w:color w:val="000000"/>
        <w:sz w:val="16"/>
      </w:rPr>
      <w:t xml:space="preserve">Aviva: </w:t>
    </w:r>
    <w:r w:rsidRPr="00ED72E6">
      <w:rPr>
        <w:rFonts w:cs="Arial"/>
        <w:color w:val="003DA5"/>
        <w:sz w:val="16"/>
      </w:rPr>
      <w:t>Internal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A2EAE" w14:textId="77777777" w:rsidR="006517BD" w:rsidRPr="00830560" w:rsidRDefault="00F52AB9" w:rsidP="00C61108">
    <w:pPr>
      <w:pStyle w:val="Footer"/>
      <w:jc w:val="right"/>
      <w:rPr>
        <w:rFonts w:cs="Arial"/>
        <w:sz w:val="16"/>
        <w:szCs w:val="16"/>
      </w:rPr>
    </w:pPr>
    <w:sdt>
      <w:sdtPr>
        <w:rPr>
          <w:rFonts w:cs="Arial"/>
          <w:sz w:val="16"/>
          <w:szCs w:val="16"/>
        </w:rPr>
        <w:id w:val="-217521257"/>
        <w:docPartObj>
          <w:docPartGallery w:val="Page Numbers (Bottom of Page)"/>
          <w:docPartUnique/>
        </w:docPartObj>
      </w:sdtPr>
      <w:sdtEndPr/>
      <w:sdtContent>
        <w:sdt>
          <w:sdtPr>
            <w:rPr>
              <w:rFonts w:cs="Arial"/>
              <w:sz w:val="16"/>
              <w:szCs w:val="16"/>
            </w:rPr>
            <w:id w:val="-2108499314"/>
            <w:docPartObj>
              <w:docPartGallery w:val="Page Numbers (Top of Page)"/>
              <w:docPartUnique/>
            </w:docPartObj>
          </w:sdtPr>
          <w:sdtEndPr/>
          <w:sdtContent>
            <w:r w:rsidR="006517BD" w:rsidRPr="00830560">
              <w:rPr>
                <w:rFonts w:cs="Arial"/>
                <w:sz w:val="16"/>
                <w:szCs w:val="16"/>
              </w:rPr>
              <w:t xml:space="preserve">Page </w:t>
            </w:r>
            <w:r w:rsidR="006517BD" w:rsidRPr="00830560">
              <w:rPr>
                <w:rFonts w:cs="Arial"/>
                <w:b/>
                <w:bCs/>
                <w:sz w:val="16"/>
                <w:szCs w:val="16"/>
              </w:rPr>
              <w:fldChar w:fldCharType="begin"/>
            </w:r>
            <w:r w:rsidR="006517BD" w:rsidRPr="00830560">
              <w:rPr>
                <w:rFonts w:cs="Arial"/>
                <w:b/>
                <w:bCs/>
                <w:sz w:val="16"/>
                <w:szCs w:val="16"/>
              </w:rPr>
              <w:instrText xml:space="preserve"> PAGE </w:instrText>
            </w:r>
            <w:r w:rsidR="006517BD" w:rsidRPr="00830560">
              <w:rPr>
                <w:rFonts w:cs="Arial"/>
                <w:b/>
                <w:bCs/>
                <w:sz w:val="16"/>
                <w:szCs w:val="16"/>
              </w:rPr>
              <w:fldChar w:fldCharType="separate"/>
            </w:r>
            <w:r w:rsidR="006517BD">
              <w:rPr>
                <w:rFonts w:cs="Arial"/>
                <w:b/>
                <w:bCs/>
                <w:noProof/>
                <w:sz w:val="16"/>
                <w:szCs w:val="16"/>
              </w:rPr>
              <w:t>9</w:t>
            </w:r>
            <w:r w:rsidR="006517BD" w:rsidRPr="00830560">
              <w:rPr>
                <w:rFonts w:cs="Arial"/>
                <w:b/>
                <w:bCs/>
                <w:sz w:val="16"/>
                <w:szCs w:val="16"/>
              </w:rPr>
              <w:fldChar w:fldCharType="end"/>
            </w:r>
            <w:r w:rsidR="006517BD" w:rsidRPr="00830560">
              <w:rPr>
                <w:rFonts w:cs="Arial"/>
                <w:sz w:val="16"/>
                <w:szCs w:val="16"/>
              </w:rPr>
              <w:t xml:space="preserve"> of </w:t>
            </w:r>
            <w:r w:rsidR="006517BD" w:rsidRPr="00830560">
              <w:rPr>
                <w:rFonts w:cs="Arial"/>
                <w:b/>
                <w:bCs/>
                <w:sz w:val="16"/>
                <w:szCs w:val="16"/>
              </w:rPr>
              <w:fldChar w:fldCharType="begin"/>
            </w:r>
            <w:r w:rsidR="006517BD" w:rsidRPr="00830560">
              <w:rPr>
                <w:rFonts w:cs="Arial"/>
                <w:b/>
                <w:bCs/>
                <w:sz w:val="16"/>
                <w:szCs w:val="16"/>
              </w:rPr>
              <w:instrText xml:space="preserve"> NUMPAGES  </w:instrText>
            </w:r>
            <w:r w:rsidR="006517BD" w:rsidRPr="00830560">
              <w:rPr>
                <w:rFonts w:cs="Arial"/>
                <w:b/>
                <w:bCs/>
                <w:sz w:val="16"/>
                <w:szCs w:val="16"/>
              </w:rPr>
              <w:fldChar w:fldCharType="separate"/>
            </w:r>
            <w:r w:rsidR="006517BD">
              <w:rPr>
                <w:rFonts w:cs="Arial"/>
                <w:b/>
                <w:bCs/>
                <w:noProof/>
                <w:sz w:val="16"/>
                <w:szCs w:val="16"/>
              </w:rPr>
              <w:t>14</w:t>
            </w:r>
            <w:r w:rsidR="006517BD" w:rsidRPr="00830560">
              <w:rPr>
                <w:rFonts w:cs="Arial"/>
                <w:b/>
                <w:bCs/>
                <w:sz w:val="16"/>
                <w:szCs w:val="16"/>
              </w:rPr>
              <w:fldChar w:fldCharType="end"/>
            </w:r>
          </w:sdtContent>
        </w:sdt>
      </w:sdtContent>
    </w:sdt>
  </w:p>
  <w:p w14:paraId="3F4DD40E" w14:textId="77777777" w:rsidR="006517BD" w:rsidRPr="005D36D6" w:rsidRDefault="006517BD" w:rsidP="005D36D6">
    <w:pPr>
      <w:pStyle w:val="Footer"/>
      <w:jc w:val="center"/>
      <w:rPr>
        <w:rFonts w:ascii="Pru Sans Normal" w:hAnsi="Pru Sans Normal" w:cs="Arabic Typesetting"/>
        <w:color w:val="000000"/>
      </w:rPr>
    </w:pPr>
    <w:r>
      <w:rPr>
        <w:rFonts w:ascii="Arabic Typesetting" w:hAnsi="Arabic Typesetting" w:cs="Arabic Typesetting"/>
      </w:rPr>
      <w:fldChar w:fldCharType="begin" w:fldLock="1"/>
    </w:r>
    <w:r>
      <w:rPr>
        <w:rFonts w:ascii="Arabic Typesetting" w:hAnsi="Arabic Typesetting" w:cs="Arabic Typesetting"/>
      </w:rPr>
      <w:instrText xml:space="preserve"> DOCPROPERTY bjFooterBothDocProperty \* MERGEFORMAT </w:instrText>
    </w:r>
    <w:r>
      <w:rPr>
        <w:rFonts w:ascii="Arabic Typesetting" w:hAnsi="Arabic Typesetting" w:cs="Arabic Typesetting"/>
      </w:rPr>
      <w:fldChar w:fldCharType="separate"/>
    </w:r>
    <w:r w:rsidRPr="005D36D6">
      <w:rPr>
        <w:rFonts w:ascii="Pru Sans Normal" w:hAnsi="Pru Sans Normal" w:cs="Arabic Typesetting"/>
        <w:color w:val="000000"/>
      </w:rPr>
      <w:t>Non-Business</w:t>
    </w:r>
  </w:p>
  <w:p w14:paraId="7CDFC2D7" w14:textId="44C50D85" w:rsidR="006517BD" w:rsidRDefault="006517BD" w:rsidP="00ED72E6">
    <w:pPr>
      <w:pStyle w:val="Footer"/>
      <w:rPr>
        <w:rFonts w:cs="Arial"/>
        <w:color w:val="43B02A"/>
        <w:sz w:val="16"/>
      </w:rPr>
    </w:pPr>
    <w:r w:rsidRPr="005D36D6">
      <w:rPr>
        <w:rFonts w:ascii="Times New Roman" w:hAnsi="Times New Roman" w:cs="Times New Roman"/>
        <w:color w:val="000000"/>
        <w:sz w:val="24"/>
      </w:rPr>
      <w:t xml:space="preserve"> </w:t>
    </w:r>
    <w:r>
      <w:rPr>
        <w:rFonts w:ascii="Arabic Typesetting" w:hAnsi="Arabic Typesetting" w:cs="Arabic Typesetting"/>
      </w:rPr>
      <w:fldChar w:fldCharType="end"/>
    </w:r>
    <w:bookmarkStart w:id="2" w:name="TITUS2FooterPrimary"/>
    <w:r w:rsidRPr="00ED72E6">
      <w:rPr>
        <w:rFonts w:cs="Arial"/>
        <w:color w:val="000000"/>
        <w:sz w:val="16"/>
      </w:rPr>
      <w:t xml:space="preserve">Aviva: </w:t>
    </w:r>
    <w:r w:rsidRPr="00ED72E6">
      <w:rPr>
        <w:rFonts w:cs="Arial"/>
        <w:color w:val="003DA5"/>
        <w:sz w:val="16"/>
      </w:rPr>
      <w:t>Internal</w:t>
    </w:r>
  </w:p>
  <w:bookmarkEnd w:id="2"/>
  <w:p w14:paraId="34D65768" w14:textId="77777777" w:rsidR="006517BD" w:rsidRPr="00830560" w:rsidRDefault="006517BD" w:rsidP="00ED72E6">
    <w:pPr>
      <w:pStyle w:val="Footer"/>
      <w:jc w:val="center"/>
      <w:rPr>
        <w:rFonts w:ascii="Arabic Typesetting" w:hAnsi="Arabic Typesetting" w:cs="Arabic Typesettin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9DF9" w14:textId="3B44EDBA" w:rsidR="006517BD" w:rsidRPr="005D36D6" w:rsidRDefault="006517BD" w:rsidP="005D36D6">
    <w:pPr>
      <w:pStyle w:val="Footer"/>
      <w:jc w:val="center"/>
      <w:rPr>
        <w:rFonts w:ascii="Pru Sans Normal" w:hAnsi="Pru Sans Normal"/>
        <w:color w:val="000000"/>
      </w:rPr>
    </w:pPr>
    <w:r>
      <w:fldChar w:fldCharType="begin" w:fldLock="1"/>
    </w:r>
    <w:r>
      <w:instrText xml:space="preserve"> DOCPROPERTY bjFooterFirstPageDocProperty \* MERGEFORMAT </w:instrText>
    </w:r>
    <w:r>
      <w:fldChar w:fldCharType="separate"/>
    </w:r>
  </w:p>
  <w:p w14:paraId="304AA442" w14:textId="671E6B47" w:rsidR="006517BD" w:rsidRDefault="006517BD" w:rsidP="001F00C9">
    <w:pPr>
      <w:pStyle w:val="Footer"/>
      <w:jc w:val="center"/>
    </w:pPr>
    <w:r w:rsidRPr="005D36D6">
      <w:rPr>
        <w:rFonts w:ascii="Times New Roman" w:hAnsi="Times New Roman" w:cs="Times New Roman"/>
        <w:color w:val="000000"/>
        <w:sz w:val="24"/>
      </w:rPr>
      <w:t xml:space="preserve"> </w:t>
    </w:r>
    <w:r>
      <w:fldChar w:fldCharType="end"/>
    </w:r>
    <w:bookmarkStart w:id="3" w:name="TITUS2FooterFirstPage"/>
  </w:p>
  <w:p w14:paraId="15066D92" w14:textId="10E26D52" w:rsidR="006517BD" w:rsidRDefault="006517BD" w:rsidP="00ED72E6">
    <w:pPr>
      <w:pStyle w:val="Footer"/>
    </w:pPr>
    <w:r w:rsidRPr="00ED72E6">
      <w:rPr>
        <w:rFonts w:cs="Arial"/>
        <w:color w:val="000000"/>
        <w:sz w:val="16"/>
      </w:rPr>
      <w:t xml:space="preserve">Aviva: </w:t>
    </w:r>
    <w:r w:rsidRPr="00ED72E6">
      <w:rPr>
        <w:rFonts w:cs="Arial"/>
        <w:color w:val="003DA5"/>
        <w:sz w:val="16"/>
      </w:rPr>
      <w:t>Internal</w:t>
    </w:r>
  </w:p>
  <w:bookmarkEnd w:id="3"/>
  <w:p w14:paraId="554CBBA6" w14:textId="77777777" w:rsidR="006517BD" w:rsidRDefault="006517BD" w:rsidP="005D36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3B7C8" w14:textId="77777777" w:rsidR="006517BD" w:rsidRDefault="006517BD" w:rsidP="00361531">
      <w:pPr>
        <w:spacing w:after="0" w:line="240" w:lineRule="auto"/>
      </w:pPr>
      <w:r>
        <w:separator/>
      </w:r>
    </w:p>
  </w:footnote>
  <w:footnote w:type="continuationSeparator" w:id="0">
    <w:p w14:paraId="4538FB1A" w14:textId="77777777" w:rsidR="006517BD" w:rsidRDefault="006517BD" w:rsidP="00361531">
      <w:pPr>
        <w:spacing w:after="0" w:line="240" w:lineRule="auto"/>
      </w:pPr>
      <w:r>
        <w:continuationSeparator/>
      </w:r>
    </w:p>
  </w:footnote>
  <w:footnote w:type="continuationNotice" w:id="1">
    <w:p w14:paraId="1CCCB59B" w14:textId="77777777" w:rsidR="006517BD" w:rsidRDefault="006517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98A4" w14:textId="77777777" w:rsidR="006517BD" w:rsidRDefault="006517BD">
    <w:pPr>
      <w:pStyle w:val="Header"/>
    </w:pPr>
  </w:p>
  <w:p w14:paraId="589CBE52" w14:textId="77777777" w:rsidR="006517BD" w:rsidRDefault="006517BD" w:rsidP="0065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35B8" w14:textId="77777777" w:rsidR="006517BD" w:rsidRDefault="00651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C3AC" w14:textId="77777777" w:rsidR="006517BD" w:rsidRDefault="006517BD">
    <w:pPr>
      <w:pStyle w:val="Header"/>
    </w:pPr>
    <w:r>
      <w:rPr>
        <w:noProof/>
        <w:lang w:eastAsia="en-GB"/>
      </w:rPr>
      <w:drawing>
        <wp:anchor distT="0" distB="0" distL="114300" distR="114300" simplePos="0" relativeHeight="251659264" behindDoc="1" locked="0" layoutInCell="1" allowOverlap="1" wp14:anchorId="7C5A2E32" wp14:editId="2AAB3411">
          <wp:simplePos x="0" y="0"/>
          <wp:positionH relativeFrom="column">
            <wp:posOffset>-914400</wp:posOffset>
          </wp:positionH>
          <wp:positionV relativeFrom="paragraph">
            <wp:posOffset>-450215</wp:posOffset>
          </wp:positionV>
          <wp:extent cx="7560527" cy="10692746"/>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 word cover.wmf"/>
                  <pic:cNvPicPr/>
                </pic:nvPicPr>
                <pic:blipFill rotWithShape="1">
                  <a:blip r:embed="rId1" cstate="print">
                    <a:extLst>
                      <a:ext uri="{28A0092B-C50C-407E-A947-70E740481C1C}">
                        <a14:useLocalDpi xmlns:a14="http://schemas.microsoft.com/office/drawing/2010/main" val="0"/>
                      </a:ext>
                    </a:extLst>
                  </a:blip>
                  <a:srcRect l="-23" t="-23" r="-23" b="-23"/>
                  <a:stretch/>
                </pic:blipFill>
                <pic:spPr bwMode="auto">
                  <a:xfrm>
                    <a:off x="0" y="0"/>
                    <a:ext cx="7560527" cy="10692746"/>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7985" w14:textId="77777777" w:rsidR="006517BD" w:rsidRDefault="006517BD">
    <w:pPr>
      <w:pStyle w:val="Header"/>
    </w:pPr>
  </w:p>
  <w:p w14:paraId="6884BBCE" w14:textId="77777777" w:rsidR="006517BD" w:rsidRDefault="006517BD" w:rsidP="006518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59621" w14:textId="77777777" w:rsidR="006517BD" w:rsidRDefault="006517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7BEB8" w14:textId="77777777" w:rsidR="006517BD" w:rsidRDefault="006517BD">
    <w:pPr>
      <w:pStyle w:val="Header"/>
    </w:pPr>
    <w:r>
      <w:rPr>
        <w:noProof/>
        <w:lang w:eastAsia="en-GB"/>
      </w:rPr>
      <w:drawing>
        <wp:anchor distT="0" distB="0" distL="114300" distR="114300" simplePos="0" relativeHeight="251661312" behindDoc="1" locked="0" layoutInCell="1" allowOverlap="1" wp14:anchorId="38CC7E5F" wp14:editId="1818E113">
          <wp:simplePos x="0" y="0"/>
          <wp:positionH relativeFrom="column">
            <wp:posOffset>-914400</wp:posOffset>
          </wp:positionH>
          <wp:positionV relativeFrom="paragraph">
            <wp:posOffset>-450215</wp:posOffset>
          </wp:positionV>
          <wp:extent cx="7560527" cy="1069274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 word cover.wmf"/>
                  <pic:cNvPicPr/>
                </pic:nvPicPr>
                <pic:blipFill rotWithShape="1">
                  <a:blip r:embed="rId1" cstate="print">
                    <a:extLst>
                      <a:ext uri="{28A0092B-C50C-407E-A947-70E740481C1C}">
                        <a14:useLocalDpi xmlns:a14="http://schemas.microsoft.com/office/drawing/2010/main" val="0"/>
                      </a:ext>
                    </a:extLst>
                  </a:blip>
                  <a:srcRect l="-23" t="-23" r="-23" b="-23"/>
                  <a:stretch/>
                </pic:blipFill>
                <pic:spPr bwMode="auto">
                  <a:xfrm>
                    <a:off x="0" y="0"/>
                    <a:ext cx="7560527" cy="1069274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20E7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25E6F"/>
    <w:multiLevelType w:val="multilevel"/>
    <w:tmpl w:val="0B8A21A2"/>
    <w:lvl w:ilvl="0">
      <w:start w:val="1"/>
      <w:numFmt w:val="decimal"/>
      <w:pStyle w:val="Heading1"/>
      <w:lvlText w:val="%1"/>
      <w:lvlJc w:val="left"/>
      <w:pPr>
        <w:ind w:left="432" w:hanging="432"/>
      </w:pPr>
      <w:rPr>
        <w:b/>
      </w:rPr>
    </w:lvl>
    <w:lvl w:ilvl="1">
      <w:start w:val="1"/>
      <w:numFmt w:val="decimal"/>
      <w:pStyle w:val="Heading2"/>
      <w:lvlText w:val="%1.%2"/>
      <w:lvlJc w:val="left"/>
      <w:pPr>
        <w:ind w:left="1144" w:hanging="576"/>
      </w:pPr>
      <w:rPr>
        <w:b/>
      </w:rPr>
    </w:lvl>
    <w:lvl w:ilvl="2">
      <w:start w:val="1"/>
      <w:numFmt w:val="decimal"/>
      <w:pStyle w:val="Heading3Modified"/>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35E6A60"/>
    <w:multiLevelType w:val="hybridMultilevel"/>
    <w:tmpl w:val="4C00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76AF6"/>
    <w:multiLevelType w:val="hybridMultilevel"/>
    <w:tmpl w:val="5160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D5E48"/>
    <w:multiLevelType w:val="hybridMultilevel"/>
    <w:tmpl w:val="2FC607D4"/>
    <w:lvl w:ilvl="0" w:tplc="C7769B3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957BAD"/>
    <w:multiLevelType w:val="hybridMultilevel"/>
    <w:tmpl w:val="99ACEE2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A986B32"/>
    <w:multiLevelType w:val="hybridMultilevel"/>
    <w:tmpl w:val="99ACEE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85482A"/>
    <w:multiLevelType w:val="hybridMultilevel"/>
    <w:tmpl w:val="486A7A90"/>
    <w:lvl w:ilvl="0" w:tplc="93906402">
      <w:start w:val="1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72B13"/>
    <w:multiLevelType w:val="hybridMultilevel"/>
    <w:tmpl w:val="764471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7813714"/>
    <w:multiLevelType w:val="hybridMultilevel"/>
    <w:tmpl w:val="5BBE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B7DB4"/>
    <w:multiLevelType w:val="hybridMultilevel"/>
    <w:tmpl w:val="FF5AD4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8004B8"/>
    <w:multiLevelType w:val="hybridMultilevel"/>
    <w:tmpl w:val="01CA15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DC7E64"/>
    <w:multiLevelType w:val="hybridMultilevel"/>
    <w:tmpl w:val="12024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2A11DB"/>
    <w:multiLevelType w:val="hybridMultilevel"/>
    <w:tmpl w:val="99ACEE2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81F41E6"/>
    <w:multiLevelType w:val="multilevel"/>
    <w:tmpl w:val="4D8A0410"/>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5E23D38"/>
    <w:multiLevelType w:val="hybridMultilevel"/>
    <w:tmpl w:val="A7B2E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C33B8A"/>
    <w:multiLevelType w:val="hybridMultilevel"/>
    <w:tmpl w:val="95AC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9E025B"/>
    <w:multiLevelType w:val="hybridMultilevel"/>
    <w:tmpl w:val="3B2EA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377B48"/>
    <w:multiLevelType w:val="hybridMultilevel"/>
    <w:tmpl w:val="9B78D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5167190"/>
    <w:multiLevelType w:val="hybridMultilevel"/>
    <w:tmpl w:val="EB3637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nsid w:val="55E172E7"/>
    <w:multiLevelType w:val="hybridMultilevel"/>
    <w:tmpl w:val="C8D4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3A0906"/>
    <w:multiLevelType w:val="hybridMultilevel"/>
    <w:tmpl w:val="234A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A35A45"/>
    <w:multiLevelType w:val="hybridMultilevel"/>
    <w:tmpl w:val="8C2A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8704A0"/>
    <w:multiLevelType w:val="hybridMultilevel"/>
    <w:tmpl w:val="1DB2A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B801D9"/>
    <w:multiLevelType w:val="hybridMultilevel"/>
    <w:tmpl w:val="AE346B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66033CA"/>
    <w:multiLevelType w:val="hybridMultilevel"/>
    <w:tmpl w:val="2CD407C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6">
    <w:nsid w:val="67370488"/>
    <w:multiLevelType w:val="hybridMultilevel"/>
    <w:tmpl w:val="D9DC8DD8"/>
    <w:lvl w:ilvl="0" w:tplc="DE748EEE">
      <w:start w:val="1"/>
      <w:numFmt w:val="bullet"/>
      <w:lvlText w:val="-"/>
      <w:lvlJc w:val="left"/>
      <w:pPr>
        <w:ind w:left="720" w:hanging="360"/>
      </w:pPr>
      <w:rPr>
        <w:rFonts w:ascii="Symbol" w:hAnsi="Symbol" w:hint="default"/>
      </w:rPr>
    </w:lvl>
    <w:lvl w:ilvl="1" w:tplc="31CAA08A">
      <w:numFmt w:val="bullet"/>
      <w:lvlText w:val=""/>
      <w:lvlJc w:val="left"/>
      <w:pPr>
        <w:ind w:left="1440" w:hanging="360"/>
      </w:pPr>
      <w:rPr>
        <w:rFonts w:ascii="Symbol" w:eastAsia="Times New Roman"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1E03C9"/>
    <w:multiLevelType w:val="hybridMultilevel"/>
    <w:tmpl w:val="E194A6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nsid w:val="6A767C18"/>
    <w:multiLevelType w:val="hybridMultilevel"/>
    <w:tmpl w:val="FEC20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B532E0B"/>
    <w:multiLevelType w:val="hybridMultilevel"/>
    <w:tmpl w:val="6436F6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CFD6C99"/>
    <w:multiLevelType w:val="hybridMultilevel"/>
    <w:tmpl w:val="C9C65BE8"/>
    <w:lvl w:ilvl="0" w:tplc="F192F1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E101B8E"/>
    <w:multiLevelType w:val="hybridMultilevel"/>
    <w:tmpl w:val="FF5AD4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257399"/>
    <w:multiLevelType w:val="hybridMultilevel"/>
    <w:tmpl w:val="3F0898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5C2D25"/>
    <w:multiLevelType w:val="hybridMultilevel"/>
    <w:tmpl w:val="4EE63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25753F2"/>
    <w:multiLevelType w:val="hybridMultilevel"/>
    <w:tmpl w:val="5A62C90E"/>
    <w:lvl w:ilvl="0" w:tplc="BF5E0B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8614F0"/>
    <w:multiLevelType w:val="hybridMultilevel"/>
    <w:tmpl w:val="D488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E061E8"/>
    <w:multiLevelType w:val="hybridMultilevel"/>
    <w:tmpl w:val="18A0F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5C5ACC"/>
    <w:multiLevelType w:val="hybridMultilevel"/>
    <w:tmpl w:val="FFEEE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5C7230"/>
    <w:multiLevelType w:val="hybridMultilevel"/>
    <w:tmpl w:val="D29436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A13CA4"/>
    <w:multiLevelType w:val="hybridMultilevel"/>
    <w:tmpl w:val="233C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8554E8"/>
    <w:multiLevelType w:val="hybridMultilevel"/>
    <w:tmpl w:val="BACA7E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F8A33F6"/>
    <w:multiLevelType w:val="hybridMultilevel"/>
    <w:tmpl w:val="7F7E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4"/>
  </w:num>
  <w:num w:numId="5">
    <w:abstractNumId w:val="22"/>
  </w:num>
  <w:num w:numId="6">
    <w:abstractNumId w:val="25"/>
  </w:num>
  <w:num w:numId="7">
    <w:abstractNumId w:val="24"/>
  </w:num>
  <w:num w:numId="8">
    <w:abstractNumId w:val="30"/>
  </w:num>
  <w:num w:numId="9">
    <w:abstractNumId w:val="10"/>
  </w:num>
  <w:num w:numId="10">
    <w:abstractNumId w:val="31"/>
  </w:num>
  <w:num w:numId="11">
    <w:abstractNumId w:val="29"/>
  </w:num>
  <w:num w:numId="12">
    <w:abstractNumId w:val="40"/>
  </w:num>
  <w:num w:numId="13">
    <w:abstractNumId w:val="34"/>
  </w:num>
  <w:num w:numId="14">
    <w:abstractNumId w:val="11"/>
  </w:num>
  <w:num w:numId="15">
    <w:abstractNumId w:val="7"/>
  </w:num>
  <w:num w:numId="16">
    <w:abstractNumId w:val="9"/>
  </w:num>
  <w:num w:numId="17">
    <w:abstractNumId w:val="6"/>
  </w:num>
  <w:num w:numId="18">
    <w:abstractNumId w:val="5"/>
  </w:num>
  <w:num w:numId="19">
    <w:abstractNumId w:val="13"/>
  </w:num>
  <w:num w:numId="20">
    <w:abstractNumId w:val="36"/>
  </w:num>
  <w:num w:numId="21">
    <w:abstractNumId w:val="35"/>
  </w:num>
  <w:num w:numId="22">
    <w:abstractNumId w:val="32"/>
  </w:num>
  <w:num w:numId="23">
    <w:abstractNumId w:val="38"/>
  </w:num>
  <w:num w:numId="24">
    <w:abstractNumId w:val="27"/>
  </w:num>
  <w:num w:numId="25">
    <w:abstractNumId w:val="28"/>
  </w:num>
  <w:num w:numId="26">
    <w:abstractNumId w:val="12"/>
  </w:num>
  <w:num w:numId="27">
    <w:abstractNumId w:val="19"/>
  </w:num>
  <w:num w:numId="28">
    <w:abstractNumId w:val="3"/>
  </w:num>
  <w:num w:numId="29">
    <w:abstractNumId w:val="2"/>
  </w:num>
  <w:num w:numId="30">
    <w:abstractNumId w:val="23"/>
  </w:num>
  <w:num w:numId="31">
    <w:abstractNumId w:val="15"/>
  </w:num>
  <w:num w:numId="32">
    <w:abstractNumId w:val="39"/>
  </w:num>
  <w:num w:numId="33">
    <w:abstractNumId w:val="18"/>
  </w:num>
  <w:num w:numId="34">
    <w:abstractNumId w:val="26"/>
  </w:num>
  <w:num w:numId="35">
    <w:abstractNumId w:val="21"/>
  </w:num>
  <w:num w:numId="36">
    <w:abstractNumId w:val="37"/>
  </w:num>
  <w:num w:numId="37">
    <w:abstractNumId w:val="41"/>
  </w:num>
  <w:num w:numId="38">
    <w:abstractNumId w:val="16"/>
  </w:num>
  <w:num w:numId="39">
    <w:abstractNumId w:val="17"/>
  </w:num>
  <w:num w:numId="40">
    <w:abstractNumId w:val="20"/>
  </w:num>
  <w:num w:numId="41">
    <w:abstractNumId w:val="33"/>
  </w:num>
  <w:num w:numId="42">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Scott">
    <w15:presenceInfo w15:providerId="AD" w15:userId="S-1-5-21-1409082233-1708537768-854245398-25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revisionView w:markup="0"/>
  <w:defaultTabStop w:val="720"/>
  <w:evenAndOddHeaders/>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28"/>
    <w:rsid w:val="00000454"/>
    <w:rsid w:val="00004A12"/>
    <w:rsid w:val="00006252"/>
    <w:rsid w:val="00007266"/>
    <w:rsid w:val="00015158"/>
    <w:rsid w:val="00015200"/>
    <w:rsid w:val="00017D05"/>
    <w:rsid w:val="00017F7F"/>
    <w:rsid w:val="00020DE1"/>
    <w:rsid w:val="00025963"/>
    <w:rsid w:val="00026CA3"/>
    <w:rsid w:val="00027E82"/>
    <w:rsid w:val="0003022B"/>
    <w:rsid w:val="0003133F"/>
    <w:rsid w:val="000442C0"/>
    <w:rsid w:val="000468CA"/>
    <w:rsid w:val="00047E69"/>
    <w:rsid w:val="00051D4F"/>
    <w:rsid w:val="00063074"/>
    <w:rsid w:val="000668F9"/>
    <w:rsid w:val="000676C9"/>
    <w:rsid w:val="00071535"/>
    <w:rsid w:val="00075571"/>
    <w:rsid w:val="00084173"/>
    <w:rsid w:val="000912CD"/>
    <w:rsid w:val="0009286E"/>
    <w:rsid w:val="00093E39"/>
    <w:rsid w:val="00096C74"/>
    <w:rsid w:val="00097437"/>
    <w:rsid w:val="000A12D4"/>
    <w:rsid w:val="000B1235"/>
    <w:rsid w:val="000B3C40"/>
    <w:rsid w:val="000B622C"/>
    <w:rsid w:val="000B73A9"/>
    <w:rsid w:val="000B7DF4"/>
    <w:rsid w:val="000D76B7"/>
    <w:rsid w:val="000E0DE0"/>
    <w:rsid w:val="000E1493"/>
    <w:rsid w:val="000E3160"/>
    <w:rsid w:val="000E60E3"/>
    <w:rsid w:val="000E788C"/>
    <w:rsid w:val="000F3167"/>
    <w:rsid w:val="000F3A2E"/>
    <w:rsid w:val="000F60FB"/>
    <w:rsid w:val="000F7ABE"/>
    <w:rsid w:val="000F7E8F"/>
    <w:rsid w:val="00103309"/>
    <w:rsid w:val="001078AB"/>
    <w:rsid w:val="0011512B"/>
    <w:rsid w:val="00120B6E"/>
    <w:rsid w:val="00122EAD"/>
    <w:rsid w:val="001238DD"/>
    <w:rsid w:val="001262C6"/>
    <w:rsid w:val="00127729"/>
    <w:rsid w:val="00127AD1"/>
    <w:rsid w:val="00127B11"/>
    <w:rsid w:val="00131453"/>
    <w:rsid w:val="001316AF"/>
    <w:rsid w:val="00132925"/>
    <w:rsid w:val="0013304A"/>
    <w:rsid w:val="00135FF3"/>
    <w:rsid w:val="00136F91"/>
    <w:rsid w:val="00140759"/>
    <w:rsid w:val="0014222F"/>
    <w:rsid w:val="001478B5"/>
    <w:rsid w:val="00147DB0"/>
    <w:rsid w:val="00151F9E"/>
    <w:rsid w:val="00153A02"/>
    <w:rsid w:val="001603EF"/>
    <w:rsid w:val="0016345A"/>
    <w:rsid w:val="001664CB"/>
    <w:rsid w:val="001700FB"/>
    <w:rsid w:val="00172DF6"/>
    <w:rsid w:val="00172E85"/>
    <w:rsid w:val="001749B2"/>
    <w:rsid w:val="00175A96"/>
    <w:rsid w:val="00176D3F"/>
    <w:rsid w:val="00180245"/>
    <w:rsid w:val="00180A8D"/>
    <w:rsid w:val="001822AB"/>
    <w:rsid w:val="001840ED"/>
    <w:rsid w:val="00185188"/>
    <w:rsid w:val="001923E9"/>
    <w:rsid w:val="001948E2"/>
    <w:rsid w:val="0019646A"/>
    <w:rsid w:val="001A15CD"/>
    <w:rsid w:val="001A4735"/>
    <w:rsid w:val="001A7B62"/>
    <w:rsid w:val="001B0AB3"/>
    <w:rsid w:val="001B7265"/>
    <w:rsid w:val="001B7796"/>
    <w:rsid w:val="001C43D4"/>
    <w:rsid w:val="001E0049"/>
    <w:rsid w:val="001E2546"/>
    <w:rsid w:val="001E25B0"/>
    <w:rsid w:val="001F00C9"/>
    <w:rsid w:val="001F3DAA"/>
    <w:rsid w:val="00204764"/>
    <w:rsid w:val="00207D4B"/>
    <w:rsid w:val="00212148"/>
    <w:rsid w:val="00212399"/>
    <w:rsid w:val="0021467B"/>
    <w:rsid w:val="00224F0A"/>
    <w:rsid w:val="0022667D"/>
    <w:rsid w:val="002273D9"/>
    <w:rsid w:val="00230EAC"/>
    <w:rsid w:val="002316CF"/>
    <w:rsid w:val="00231E3C"/>
    <w:rsid w:val="00234276"/>
    <w:rsid w:val="00234A72"/>
    <w:rsid w:val="00243181"/>
    <w:rsid w:val="002447C1"/>
    <w:rsid w:val="00245349"/>
    <w:rsid w:val="0024587A"/>
    <w:rsid w:val="00245BF6"/>
    <w:rsid w:val="0024696C"/>
    <w:rsid w:val="00250AF9"/>
    <w:rsid w:val="00250FB9"/>
    <w:rsid w:val="00251A8A"/>
    <w:rsid w:val="002567E9"/>
    <w:rsid w:val="002568CA"/>
    <w:rsid w:val="00256A89"/>
    <w:rsid w:val="00256EA4"/>
    <w:rsid w:val="00261000"/>
    <w:rsid w:val="002641F4"/>
    <w:rsid w:val="00267F44"/>
    <w:rsid w:val="00270F7B"/>
    <w:rsid w:val="00273D67"/>
    <w:rsid w:val="00274225"/>
    <w:rsid w:val="00275AE2"/>
    <w:rsid w:val="00282C09"/>
    <w:rsid w:val="0028547F"/>
    <w:rsid w:val="00285A0E"/>
    <w:rsid w:val="002A2B20"/>
    <w:rsid w:val="002A2B95"/>
    <w:rsid w:val="002A5892"/>
    <w:rsid w:val="002B0735"/>
    <w:rsid w:val="002B1256"/>
    <w:rsid w:val="002B166C"/>
    <w:rsid w:val="002B369C"/>
    <w:rsid w:val="002C0734"/>
    <w:rsid w:val="002C0D3D"/>
    <w:rsid w:val="002C4E6E"/>
    <w:rsid w:val="002C5FE6"/>
    <w:rsid w:val="002C6F6E"/>
    <w:rsid w:val="002D3143"/>
    <w:rsid w:val="002D4083"/>
    <w:rsid w:val="002E2D78"/>
    <w:rsid w:val="002E5AC0"/>
    <w:rsid w:val="002E7012"/>
    <w:rsid w:val="002F07CA"/>
    <w:rsid w:val="002F1F72"/>
    <w:rsid w:val="002F2C58"/>
    <w:rsid w:val="002F66F6"/>
    <w:rsid w:val="002F7631"/>
    <w:rsid w:val="00300EAF"/>
    <w:rsid w:val="00305D56"/>
    <w:rsid w:val="00316C1E"/>
    <w:rsid w:val="0032030E"/>
    <w:rsid w:val="003205B4"/>
    <w:rsid w:val="00320D83"/>
    <w:rsid w:val="00323CFB"/>
    <w:rsid w:val="003243DE"/>
    <w:rsid w:val="00332DAA"/>
    <w:rsid w:val="00334761"/>
    <w:rsid w:val="003377E3"/>
    <w:rsid w:val="003429F4"/>
    <w:rsid w:val="003532B1"/>
    <w:rsid w:val="00355C52"/>
    <w:rsid w:val="00361531"/>
    <w:rsid w:val="00362ED8"/>
    <w:rsid w:val="00372255"/>
    <w:rsid w:val="00372C71"/>
    <w:rsid w:val="0037671A"/>
    <w:rsid w:val="00377571"/>
    <w:rsid w:val="003824D0"/>
    <w:rsid w:val="00391E89"/>
    <w:rsid w:val="0039653C"/>
    <w:rsid w:val="00397F78"/>
    <w:rsid w:val="003A0C49"/>
    <w:rsid w:val="003A207D"/>
    <w:rsid w:val="003A7F22"/>
    <w:rsid w:val="003B05B5"/>
    <w:rsid w:val="003B2FD8"/>
    <w:rsid w:val="003B778B"/>
    <w:rsid w:val="003B789D"/>
    <w:rsid w:val="003D4628"/>
    <w:rsid w:val="003D6A04"/>
    <w:rsid w:val="003E0C81"/>
    <w:rsid w:val="003F2DAA"/>
    <w:rsid w:val="003F2E15"/>
    <w:rsid w:val="003F7DE2"/>
    <w:rsid w:val="004012D4"/>
    <w:rsid w:val="0040243F"/>
    <w:rsid w:val="00404DA5"/>
    <w:rsid w:val="004075BD"/>
    <w:rsid w:val="00407F68"/>
    <w:rsid w:val="00412304"/>
    <w:rsid w:val="00421992"/>
    <w:rsid w:val="00421A9F"/>
    <w:rsid w:val="004235FD"/>
    <w:rsid w:val="00424C44"/>
    <w:rsid w:val="0044215C"/>
    <w:rsid w:val="0045377C"/>
    <w:rsid w:val="00454C9A"/>
    <w:rsid w:val="00457104"/>
    <w:rsid w:val="00457422"/>
    <w:rsid w:val="004617C6"/>
    <w:rsid w:val="004629C6"/>
    <w:rsid w:val="00463993"/>
    <w:rsid w:val="0046478F"/>
    <w:rsid w:val="00467035"/>
    <w:rsid w:val="0047011C"/>
    <w:rsid w:val="00471F57"/>
    <w:rsid w:val="00473699"/>
    <w:rsid w:val="00473E7C"/>
    <w:rsid w:val="0047492C"/>
    <w:rsid w:val="00482307"/>
    <w:rsid w:val="00482621"/>
    <w:rsid w:val="0048541E"/>
    <w:rsid w:val="00487EFE"/>
    <w:rsid w:val="004928AC"/>
    <w:rsid w:val="00492E2C"/>
    <w:rsid w:val="00496C2E"/>
    <w:rsid w:val="004A3493"/>
    <w:rsid w:val="004A3582"/>
    <w:rsid w:val="004A4306"/>
    <w:rsid w:val="004B0F81"/>
    <w:rsid w:val="004B1C97"/>
    <w:rsid w:val="004B2A36"/>
    <w:rsid w:val="004B453F"/>
    <w:rsid w:val="004B7168"/>
    <w:rsid w:val="004C07FE"/>
    <w:rsid w:val="004C36E1"/>
    <w:rsid w:val="004D07D3"/>
    <w:rsid w:val="004D4764"/>
    <w:rsid w:val="004D5C97"/>
    <w:rsid w:val="004E3ECF"/>
    <w:rsid w:val="004E4CA8"/>
    <w:rsid w:val="004E558C"/>
    <w:rsid w:val="004E5BBE"/>
    <w:rsid w:val="004E6445"/>
    <w:rsid w:val="004F2659"/>
    <w:rsid w:val="004F2B9E"/>
    <w:rsid w:val="004F3696"/>
    <w:rsid w:val="004F3CAA"/>
    <w:rsid w:val="004F5281"/>
    <w:rsid w:val="004F63B1"/>
    <w:rsid w:val="004F6937"/>
    <w:rsid w:val="0050197C"/>
    <w:rsid w:val="005030CF"/>
    <w:rsid w:val="00507810"/>
    <w:rsid w:val="005118D8"/>
    <w:rsid w:val="00512E9F"/>
    <w:rsid w:val="00525F0C"/>
    <w:rsid w:val="00532D07"/>
    <w:rsid w:val="00533851"/>
    <w:rsid w:val="00535178"/>
    <w:rsid w:val="0053713F"/>
    <w:rsid w:val="005426C0"/>
    <w:rsid w:val="00546BA5"/>
    <w:rsid w:val="00547476"/>
    <w:rsid w:val="00553858"/>
    <w:rsid w:val="00553861"/>
    <w:rsid w:val="00556ACC"/>
    <w:rsid w:val="005574BE"/>
    <w:rsid w:val="00562C4B"/>
    <w:rsid w:val="00563FF4"/>
    <w:rsid w:val="00565EE2"/>
    <w:rsid w:val="0056754E"/>
    <w:rsid w:val="00571EAD"/>
    <w:rsid w:val="005737C0"/>
    <w:rsid w:val="00573950"/>
    <w:rsid w:val="0057689D"/>
    <w:rsid w:val="0058250B"/>
    <w:rsid w:val="00583004"/>
    <w:rsid w:val="00585407"/>
    <w:rsid w:val="0058672C"/>
    <w:rsid w:val="00587A98"/>
    <w:rsid w:val="0059073A"/>
    <w:rsid w:val="00594CDB"/>
    <w:rsid w:val="005A2C41"/>
    <w:rsid w:val="005A3544"/>
    <w:rsid w:val="005A7D83"/>
    <w:rsid w:val="005B12C3"/>
    <w:rsid w:val="005B151D"/>
    <w:rsid w:val="005B4AEA"/>
    <w:rsid w:val="005B4CF0"/>
    <w:rsid w:val="005B6B61"/>
    <w:rsid w:val="005C149B"/>
    <w:rsid w:val="005C1A95"/>
    <w:rsid w:val="005C74E2"/>
    <w:rsid w:val="005C7588"/>
    <w:rsid w:val="005D03BD"/>
    <w:rsid w:val="005D36D6"/>
    <w:rsid w:val="005D4732"/>
    <w:rsid w:val="005D4FB3"/>
    <w:rsid w:val="005D603A"/>
    <w:rsid w:val="005E0F31"/>
    <w:rsid w:val="005E2A64"/>
    <w:rsid w:val="005F0FF3"/>
    <w:rsid w:val="005F65E3"/>
    <w:rsid w:val="00602322"/>
    <w:rsid w:val="00607CEC"/>
    <w:rsid w:val="00612B43"/>
    <w:rsid w:val="00621E09"/>
    <w:rsid w:val="00622067"/>
    <w:rsid w:val="0062247C"/>
    <w:rsid w:val="0062665E"/>
    <w:rsid w:val="006328BD"/>
    <w:rsid w:val="00641C4B"/>
    <w:rsid w:val="00643F4F"/>
    <w:rsid w:val="006457EA"/>
    <w:rsid w:val="00645855"/>
    <w:rsid w:val="006517BD"/>
    <w:rsid w:val="00651800"/>
    <w:rsid w:val="006530EF"/>
    <w:rsid w:val="0066340E"/>
    <w:rsid w:val="00665F5D"/>
    <w:rsid w:val="006705C2"/>
    <w:rsid w:val="00671497"/>
    <w:rsid w:val="00673AE1"/>
    <w:rsid w:val="00675F08"/>
    <w:rsid w:val="00677259"/>
    <w:rsid w:val="00682F8C"/>
    <w:rsid w:val="00683ECE"/>
    <w:rsid w:val="00686DCC"/>
    <w:rsid w:val="006875D1"/>
    <w:rsid w:val="006918BA"/>
    <w:rsid w:val="00696689"/>
    <w:rsid w:val="00697B04"/>
    <w:rsid w:val="006B6146"/>
    <w:rsid w:val="006C0A06"/>
    <w:rsid w:val="006C18F5"/>
    <w:rsid w:val="006D5C8A"/>
    <w:rsid w:val="006E0708"/>
    <w:rsid w:val="006E41D1"/>
    <w:rsid w:val="006E5995"/>
    <w:rsid w:val="006F030F"/>
    <w:rsid w:val="006F1121"/>
    <w:rsid w:val="006F1554"/>
    <w:rsid w:val="006F50D6"/>
    <w:rsid w:val="006F5C39"/>
    <w:rsid w:val="00701AD0"/>
    <w:rsid w:val="00706C5A"/>
    <w:rsid w:val="00711A4A"/>
    <w:rsid w:val="00711F55"/>
    <w:rsid w:val="0071610F"/>
    <w:rsid w:val="00721DBB"/>
    <w:rsid w:val="0072351E"/>
    <w:rsid w:val="007245E3"/>
    <w:rsid w:val="007256DE"/>
    <w:rsid w:val="00725E2A"/>
    <w:rsid w:val="00733997"/>
    <w:rsid w:val="00735D00"/>
    <w:rsid w:val="007432E9"/>
    <w:rsid w:val="007433B5"/>
    <w:rsid w:val="00746ED3"/>
    <w:rsid w:val="00753A25"/>
    <w:rsid w:val="00756803"/>
    <w:rsid w:val="00757CB1"/>
    <w:rsid w:val="007631E9"/>
    <w:rsid w:val="0076598A"/>
    <w:rsid w:val="007661CC"/>
    <w:rsid w:val="007722A9"/>
    <w:rsid w:val="00773E86"/>
    <w:rsid w:val="00774880"/>
    <w:rsid w:val="00776199"/>
    <w:rsid w:val="007805B6"/>
    <w:rsid w:val="0078275D"/>
    <w:rsid w:val="007836E3"/>
    <w:rsid w:val="007842E8"/>
    <w:rsid w:val="00791122"/>
    <w:rsid w:val="0079350F"/>
    <w:rsid w:val="007946D0"/>
    <w:rsid w:val="00795779"/>
    <w:rsid w:val="0079615B"/>
    <w:rsid w:val="00796188"/>
    <w:rsid w:val="00796453"/>
    <w:rsid w:val="007978BF"/>
    <w:rsid w:val="007A0EA1"/>
    <w:rsid w:val="007A2B79"/>
    <w:rsid w:val="007A3B82"/>
    <w:rsid w:val="007A7B69"/>
    <w:rsid w:val="007B0073"/>
    <w:rsid w:val="007B703E"/>
    <w:rsid w:val="007C0107"/>
    <w:rsid w:val="007C12C7"/>
    <w:rsid w:val="007C4950"/>
    <w:rsid w:val="007D6CAC"/>
    <w:rsid w:val="007E0E02"/>
    <w:rsid w:val="007E13BA"/>
    <w:rsid w:val="007F10B4"/>
    <w:rsid w:val="007F3879"/>
    <w:rsid w:val="008027B2"/>
    <w:rsid w:val="00803EC3"/>
    <w:rsid w:val="00807D09"/>
    <w:rsid w:val="00810B82"/>
    <w:rsid w:val="008141DE"/>
    <w:rsid w:val="0081460F"/>
    <w:rsid w:val="00822960"/>
    <w:rsid w:val="00827984"/>
    <w:rsid w:val="00830560"/>
    <w:rsid w:val="00833AED"/>
    <w:rsid w:val="00834271"/>
    <w:rsid w:val="0083783A"/>
    <w:rsid w:val="00837CBA"/>
    <w:rsid w:val="00843454"/>
    <w:rsid w:val="00843F1B"/>
    <w:rsid w:val="00846B38"/>
    <w:rsid w:val="00851452"/>
    <w:rsid w:val="008549E2"/>
    <w:rsid w:val="008556B0"/>
    <w:rsid w:val="008633AD"/>
    <w:rsid w:val="008743ED"/>
    <w:rsid w:val="00883474"/>
    <w:rsid w:val="008846F1"/>
    <w:rsid w:val="00885AA2"/>
    <w:rsid w:val="00890AF0"/>
    <w:rsid w:val="008931E7"/>
    <w:rsid w:val="0089491E"/>
    <w:rsid w:val="0089770A"/>
    <w:rsid w:val="008A0231"/>
    <w:rsid w:val="008A0D95"/>
    <w:rsid w:val="008A14C0"/>
    <w:rsid w:val="008A5A3A"/>
    <w:rsid w:val="008A6851"/>
    <w:rsid w:val="008A74A8"/>
    <w:rsid w:val="008B457F"/>
    <w:rsid w:val="008B58F0"/>
    <w:rsid w:val="008B69FA"/>
    <w:rsid w:val="008C1E21"/>
    <w:rsid w:val="008D4767"/>
    <w:rsid w:val="008D5DC1"/>
    <w:rsid w:val="008D60B8"/>
    <w:rsid w:val="008E1B1B"/>
    <w:rsid w:val="008E28F9"/>
    <w:rsid w:val="008E3FCA"/>
    <w:rsid w:val="008F03A3"/>
    <w:rsid w:val="008F196F"/>
    <w:rsid w:val="008F371B"/>
    <w:rsid w:val="008F7AE4"/>
    <w:rsid w:val="00905599"/>
    <w:rsid w:val="009064E8"/>
    <w:rsid w:val="009138CF"/>
    <w:rsid w:val="009147B5"/>
    <w:rsid w:val="00916552"/>
    <w:rsid w:val="0092084E"/>
    <w:rsid w:val="0092404C"/>
    <w:rsid w:val="00935FD2"/>
    <w:rsid w:val="009400D6"/>
    <w:rsid w:val="00945C7B"/>
    <w:rsid w:val="00946C3F"/>
    <w:rsid w:val="009543D6"/>
    <w:rsid w:val="009563C1"/>
    <w:rsid w:val="0096228C"/>
    <w:rsid w:val="00962CEA"/>
    <w:rsid w:val="00962FA1"/>
    <w:rsid w:val="00964132"/>
    <w:rsid w:val="00966DE7"/>
    <w:rsid w:val="009704FF"/>
    <w:rsid w:val="00971542"/>
    <w:rsid w:val="009743C2"/>
    <w:rsid w:val="009745B3"/>
    <w:rsid w:val="009831B6"/>
    <w:rsid w:val="00984277"/>
    <w:rsid w:val="00990618"/>
    <w:rsid w:val="009927FF"/>
    <w:rsid w:val="00992C53"/>
    <w:rsid w:val="00992DB6"/>
    <w:rsid w:val="00993EA9"/>
    <w:rsid w:val="00995028"/>
    <w:rsid w:val="009A5B96"/>
    <w:rsid w:val="009A6ED1"/>
    <w:rsid w:val="009B1B7D"/>
    <w:rsid w:val="009B3A51"/>
    <w:rsid w:val="009B6542"/>
    <w:rsid w:val="009C1963"/>
    <w:rsid w:val="009C387B"/>
    <w:rsid w:val="009C7F37"/>
    <w:rsid w:val="009D3EA8"/>
    <w:rsid w:val="009D56EB"/>
    <w:rsid w:val="009E1315"/>
    <w:rsid w:val="009F0CA1"/>
    <w:rsid w:val="009F23CB"/>
    <w:rsid w:val="009F40E8"/>
    <w:rsid w:val="009F67D6"/>
    <w:rsid w:val="009F6AC0"/>
    <w:rsid w:val="00A02A9E"/>
    <w:rsid w:val="00A02E60"/>
    <w:rsid w:val="00A13710"/>
    <w:rsid w:val="00A22B6C"/>
    <w:rsid w:val="00A2471B"/>
    <w:rsid w:val="00A26191"/>
    <w:rsid w:val="00A32FFA"/>
    <w:rsid w:val="00A344C6"/>
    <w:rsid w:val="00A3451C"/>
    <w:rsid w:val="00A37A6D"/>
    <w:rsid w:val="00A40051"/>
    <w:rsid w:val="00A424DA"/>
    <w:rsid w:val="00A4543A"/>
    <w:rsid w:val="00A520B8"/>
    <w:rsid w:val="00A532E7"/>
    <w:rsid w:val="00A53931"/>
    <w:rsid w:val="00A6146B"/>
    <w:rsid w:val="00A61FFA"/>
    <w:rsid w:val="00A64B55"/>
    <w:rsid w:val="00A64BE3"/>
    <w:rsid w:val="00A6577C"/>
    <w:rsid w:val="00A66463"/>
    <w:rsid w:val="00A70F57"/>
    <w:rsid w:val="00A725ED"/>
    <w:rsid w:val="00A75754"/>
    <w:rsid w:val="00A76528"/>
    <w:rsid w:val="00A778D4"/>
    <w:rsid w:val="00A908F5"/>
    <w:rsid w:val="00A9251C"/>
    <w:rsid w:val="00A97B61"/>
    <w:rsid w:val="00AA5F18"/>
    <w:rsid w:val="00AA736C"/>
    <w:rsid w:val="00AB3D29"/>
    <w:rsid w:val="00AB4CEB"/>
    <w:rsid w:val="00AB68CD"/>
    <w:rsid w:val="00AC3CBC"/>
    <w:rsid w:val="00AC46F6"/>
    <w:rsid w:val="00AC6191"/>
    <w:rsid w:val="00AC75F0"/>
    <w:rsid w:val="00AC7713"/>
    <w:rsid w:val="00AE02D7"/>
    <w:rsid w:val="00AE4ABD"/>
    <w:rsid w:val="00AE6480"/>
    <w:rsid w:val="00AF144C"/>
    <w:rsid w:val="00AF22FD"/>
    <w:rsid w:val="00AF39A4"/>
    <w:rsid w:val="00AF458E"/>
    <w:rsid w:val="00AF5928"/>
    <w:rsid w:val="00B00477"/>
    <w:rsid w:val="00B0157F"/>
    <w:rsid w:val="00B05CD2"/>
    <w:rsid w:val="00B05E08"/>
    <w:rsid w:val="00B1001D"/>
    <w:rsid w:val="00B10F8C"/>
    <w:rsid w:val="00B118F1"/>
    <w:rsid w:val="00B16165"/>
    <w:rsid w:val="00B16A3E"/>
    <w:rsid w:val="00B17BB7"/>
    <w:rsid w:val="00B2028A"/>
    <w:rsid w:val="00B2092A"/>
    <w:rsid w:val="00B21325"/>
    <w:rsid w:val="00B24314"/>
    <w:rsid w:val="00B301C9"/>
    <w:rsid w:val="00B365B8"/>
    <w:rsid w:val="00B37F45"/>
    <w:rsid w:val="00B4226D"/>
    <w:rsid w:val="00B513DA"/>
    <w:rsid w:val="00B541D2"/>
    <w:rsid w:val="00B62206"/>
    <w:rsid w:val="00B63DEB"/>
    <w:rsid w:val="00B65E50"/>
    <w:rsid w:val="00B673F4"/>
    <w:rsid w:val="00B74F54"/>
    <w:rsid w:val="00B804B0"/>
    <w:rsid w:val="00B80F67"/>
    <w:rsid w:val="00B8102C"/>
    <w:rsid w:val="00B82233"/>
    <w:rsid w:val="00B8652C"/>
    <w:rsid w:val="00B86D0A"/>
    <w:rsid w:val="00B907C1"/>
    <w:rsid w:val="00B918AE"/>
    <w:rsid w:val="00B9451B"/>
    <w:rsid w:val="00B957A6"/>
    <w:rsid w:val="00B95888"/>
    <w:rsid w:val="00B95B0A"/>
    <w:rsid w:val="00B96361"/>
    <w:rsid w:val="00B96E41"/>
    <w:rsid w:val="00B97010"/>
    <w:rsid w:val="00B976AE"/>
    <w:rsid w:val="00BA05D1"/>
    <w:rsid w:val="00BA232A"/>
    <w:rsid w:val="00BA33BC"/>
    <w:rsid w:val="00BA55C7"/>
    <w:rsid w:val="00BA5D9F"/>
    <w:rsid w:val="00BA5DCF"/>
    <w:rsid w:val="00BB5067"/>
    <w:rsid w:val="00BB566C"/>
    <w:rsid w:val="00BC0622"/>
    <w:rsid w:val="00BC17DC"/>
    <w:rsid w:val="00BC3C13"/>
    <w:rsid w:val="00BC7712"/>
    <w:rsid w:val="00BD4AF6"/>
    <w:rsid w:val="00BE03BC"/>
    <w:rsid w:val="00BE2AAE"/>
    <w:rsid w:val="00BE2BE4"/>
    <w:rsid w:val="00BE3625"/>
    <w:rsid w:val="00BE380A"/>
    <w:rsid w:val="00BE6947"/>
    <w:rsid w:val="00BE6AA0"/>
    <w:rsid w:val="00BE6E2B"/>
    <w:rsid w:val="00BE73F0"/>
    <w:rsid w:val="00BF205E"/>
    <w:rsid w:val="00BF29CF"/>
    <w:rsid w:val="00BF414C"/>
    <w:rsid w:val="00BF416D"/>
    <w:rsid w:val="00BF792D"/>
    <w:rsid w:val="00C01AB4"/>
    <w:rsid w:val="00C0219D"/>
    <w:rsid w:val="00C05205"/>
    <w:rsid w:val="00C058FC"/>
    <w:rsid w:val="00C06BB8"/>
    <w:rsid w:val="00C0796A"/>
    <w:rsid w:val="00C147DD"/>
    <w:rsid w:val="00C14FCF"/>
    <w:rsid w:val="00C203B0"/>
    <w:rsid w:val="00C2063B"/>
    <w:rsid w:val="00C22E30"/>
    <w:rsid w:val="00C249B7"/>
    <w:rsid w:val="00C27520"/>
    <w:rsid w:val="00C428F6"/>
    <w:rsid w:val="00C4616B"/>
    <w:rsid w:val="00C47B78"/>
    <w:rsid w:val="00C51F64"/>
    <w:rsid w:val="00C51F68"/>
    <w:rsid w:val="00C53AB8"/>
    <w:rsid w:val="00C61108"/>
    <w:rsid w:val="00C65EED"/>
    <w:rsid w:val="00C66162"/>
    <w:rsid w:val="00C668B8"/>
    <w:rsid w:val="00C72F45"/>
    <w:rsid w:val="00C76C77"/>
    <w:rsid w:val="00C838CB"/>
    <w:rsid w:val="00C854EC"/>
    <w:rsid w:val="00C8714F"/>
    <w:rsid w:val="00C91930"/>
    <w:rsid w:val="00C946DE"/>
    <w:rsid w:val="00C95EDE"/>
    <w:rsid w:val="00CA377D"/>
    <w:rsid w:val="00CA7531"/>
    <w:rsid w:val="00CA7E7B"/>
    <w:rsid w:val="00CB5E56"/>
    <w:rsid w:val="00CB5FC3"/>
    <w:rsid w:val="00CC06E0"/>
    <w:rsid w:val="00CC1700"/>
    <w:rsid w:val="00CC268D"/>
    <w:rsid w:val="00CC39E9"/>
    <w:rsid w:val="00CC45F4"/>
    <w:rsid w:val="00CC501F"/>
    <w:rsid w:val="00CD1ACF"/>
    <w:rsid w:val="00CE08AB"/>
    <w:rsid w:val="00CE65DA"/>
    <w:rsid w:val="00CE71EF"/>
    <w:rsid w:val="00CF45FE"/>
    <w:rsid w:val="00CF54B8"/>
    <w:rsid w:val="00CF587F"/>
    <w:rsid w:val="00CF6011"/>
    <w:rsid w:val="00D000CC"/>
    <w:rsid w:val="00D006A5"/>
    <w:rsid w:val="00D0143C"/>
    <w:rsid w:val="00D1166B"/>
    <w:rsid w:val="00D1259B"/>
    <w:rsid w:val="00D15343"/>
    <w:rsid w:val="00D1567F"/>
    <w:rsid w:val="00D22CAA"/>
    <w:rsid w:val="00D24D3E"/>
    <w:rsid w:val="00D32E73"/>
    <w:rsid w:val="00D3338D"/>
    <w:rsid w:val="00D37B8C"/>
    <w:rsid w:val="00D40729"/>
    <w:rsid w:val="00D417CD"/>
    <w:rsid w:val="00D427D7"/>
    <w:rsid w:val="00D430D3"/>
    <w:rsid w:val="00D46179"/>
    <w:rsid w:val="00D53450"/>
    <w:rsid w:val="00D65556"/>
    <w:rsid w:val="00D7198E"/>
    <w:rsid w:val="00D7207C"/>
    <w:rsid w:val="00D72949"/>
    <w:rsid w:val="00D85E3A"/>
    <w:rsid w:val="00D91C72"/>
    <w:rsid w:val="00D937FC"/>
    <w:rsid w:val="00D95990"/>
    <w:rsid w:val="00DB7082"/>
    <w:rsid w:val="00DC2306"/>
    <w:rsid w:val="00DC2A59"/>
    <w:rsid w:val="00DC6291"/>
    <w:rsid w:val="00DD013F"/>
    <w:rsid w:val="00DD459A"/>
    <w:rsid w:val="00DD7BDE"/>
    <w:rsid w:val="00DE06AA"/>
    <w:rsid w:val="00DE51AD"/>
    <w:rsid w:val="00DE5482"/>
    <w:rsid w:val="00DE57B5"/>
    <w:rsid w:val="00DE6BE1"/>
    <w:rsid w:val="00DF2C80"/>
    <w:rsid w:val="00DF727D"/>
    <w:rsid w:val="00E11FDA"/>
    <w:rsid w:val="00E149D9"/>
    <w:rsid w:val="00E15DD8"/>
    <w:rsid w:val="00E2086F"/>
    <w:rsid w:val="00E2397C"/>
    <w:rsid w:val="00E33814"/>
    <w:rsid w:val="00E41116"/>
    <w:rsid w:val="00E422B4"/>
    <w:rsid w:val="00E43C51"/>
    <w:rsid w:val="00E50697"/>
    <w:rsid w:val="00E5444F"/>
    <w:rsid w:val="00E637C3"/>
    <w:rsid w:val="00E64869"/>
    <w:rsid w:val="00E66865"/>
    <w:rsid w:val="00E726E8"/>
    <w:rsid w:val="00E77D4C"/>
    <w:rsid w:val="00E804D5"/>
    <w:rsid w:val="00E849F3"/>
    <w:rsid w:val="00E91B17"/>
    <w:rsid w:val="00E93977"/>
    <w:rsid w:val="00E948EC"/>
    <w:rsid w:val="00E94FE7"/>
    <w:rsid w:val="00E973FF"/>
    <w:rsid w:val="00E975E2"/>
    <w:rsid w:val="00EA456F"/>
    <w:rsid w:val="00EB3388"/>
    <w:rsid w:val="00EC3802"/>
    <w:rsid w:val="00EC498C"/>
    <w:rsid w:val="00ED5BA2"/>
    <w:rsid w:val="00ED5E12"/>
    <w:rsid w:val="00ED72E6"/>
    <w:rsid w:val="00EE4D8B"/>
    <w:rsid w:val="00EE4F74"/>
    <w:rsid w:val="00EF0016"/>
    <w:rsid w:val="00EF2832"/>
    <w:rsid w:val="00EF6D2F"/>
    <w:rsid w:val="00EF7C2C"/>
    <w:rsid w:val="00F00290"/>
    <w:rsid w:val="00F009EE"/>
    <w:rsid w:val="00F017EC"/>
    <w:rsid w:val="00F02785"/>
    <w:rsid w:val="00F0425F"/>
    <w:rsid w:val="00F06AD0"/>
    <w:rsid w:val="00F070E4"/>
    <w:rsid w:val="00F07835"/>
    <w:rsid w:val="00F10BAE"/>
    <w:rsid w:val="00F119C7"/>
    <w:rsid w:val="00F13185"/>
    <w:rsid w:val="00F15099"/>
    <w:rsid w:val="00F16740"/>
    <w:rsid w:val="00F1785F"/>
    <w:rsid w:val="00F21AF0"/>
    <w:rsid w:val="00F21FDB"/>
    <w:rsid w:val="00F327CD"/>
    <w:rsid w:val="00F36FA0"/>
    <w:rsid w:val="00F42ABC"/>
    <w:rsid w:val="00F43CE6"/>
    <w:rsid w:val="00F45689"/>
    <w:rsid w:val="00F52AB9"/>
    <w:rsid w:val="00F61602"/>
    <w:rsid w:val="00F6163E"/>
    <w:rsid w:val="00F61B2E"/>
    <w:rsid w:val="00F657C1"/>
    <w:rsid w:val="00F666A3"/>
    <w:rsid w:val="00F71275"/>
    <w:rsid w:val="00F73B6F"/>
    <w:rsid w:val="00F742F3"/>
    <w:rsid w:val="00F7659B"/>
    <w:rsid w:val="00F76900"/>
    <w:rsid w:val="00F77A66"/>
    <w:rsid w:val="00F812ED"/>
    <w:rsid w:val="00F825E4"/>
    <w:rsid w:val="00F8374E"/>
    <w:rsid w:val="00F84D2C"/>
    <w:rsid w:val="00F8687E"/>
    <w:rsid w:val="00F8694B"/>
    <w:rsid w:val="00F901CA"/>
    <w:rsid w:val="00F93ED2"/>
    <w:rsid w:val="00F94330"/>
    <w:rsid w:val="00F9736D"/>
    <w:rsid w:val="00F97D74"/>
    <w:rsid w:val="00FA0669"/>
    <w:rsid w:val="00FA5ABD"/>
    <w:rsid w:val="00FA6CD2"/>
    <w:rsid w:val="00FB0485"/>
    <w:rsid w:val="00FB1EA9"/>
    <w:rsid w:val="00FB208E"/>
    <w:rsid w:val="00FB2F49"/>
    <w:rsid w:val="00FB30BD"/>
    <w:rsid w:val="00FB3CBF"/>
    <w:rsid w:val="00FB3E21"/>
    <w:rsid w:val="00FB6593"/>
    <w:rsid w:val="00FC57D6"/>
    <w:rsid w:val="00FC5CAB"/>
    <w:rsid w:val="00FC5E89"/>
    <w:rsid w:val="00FC70DC"/>
    <w:rsid w:val="00FD0B7C"/>
    <w:rsid w:val="00FD18C7"/>
    <w:rsid w:val="00FD1E79"/>
    <w:rsid w:val="00FD2C0F"/>
    <w:rsid w:val="00FE0BB6"/>
    <w:rsid w:val="00FE2563"/>
    <w:rsid w:val="00FE44F6"/>
    <w:rsid w:val="00FE7A48"/>
    <w:rsid w:val="00FE7BDE"/>
    <w:rsid w:val="00FF1133"/>
    <w:rsid w:val="00FF3968"/>
    <w:rsid w:val="00FF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A9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B2"/>
    <w:rPr>
      <w:rFonts w:ascii="Arial" w:hAnsi="Arial"/>
      <w:sz w:val="20"/>
    </w:rPr>
  </w:style>
  <w:style w:type="paragraph" w:styleId="Heading1">
    <w:name w:val="heading 1"/>
    <w:next w:val="BodyTextGrey"/>
    <w:link w:val="Heading1Char"/>
    <w:qFormat/>
    <w:rsid w:val="00B74F54"/>
    <w:pPr>
      <w:keepNext/>
      <w:keepLines/>
      <w:numPr>
        <w:numId w:val="2"/>
      </w:numPr>
      <w:spacing w:before="140" w:after="140" w:line="360" w:lineRule="atLeast"/>
      <w:outlineLvl w:val="0"/>
    </w:pPr>
    <w:rPr>
      <w:rFonts w:ascii="Arial" w:eastAsia="Times New Roman" w:hAnsi="Arial" w:cs="Times New Roman"/>
      <w:b/>
      <w:color w:val="2F2B20" w:themeColor="text1"/>
      <w:kern w:val="28"/>
      <w:sz w:val="20"/>
      <w:szCs w:val="20"/>
    </w:rPr>
  </w:style>
  <w:style w:type="paragraph" w:styleId="Heading2">
    <w:name w:val="heading 2"/>
    <w:next w:val="Normal"/>
    <w:link w:val="Heading2Char"/>
    <w:autoRedefine/>
    <w:qFormat/>
    <w:rsid w:val="00D937FC"/>
    <w:pPr>
      <w:keepNext/>
      <w:keepLines/>
      <w:numPr>
        <w:ilvl w:val="1"/>
        <w:numId w:val="2"/>
      </w:numPr>
      <w:spacing w:before="140" w:line="280" w:lineRule="atLeast"/>
      <w:ind w:left="426" w:hanging="426"/>
      <w:outlineLvl w:val="1"/>
    </w:pPr>
    <w:rPr>
      <w:rFonts w:ascii="Arial" w:eastAsiaTheme="minorEastAsia" w:hAnsi="Arial" w:cs="Times New Roman"/>
      <w:b/>
      <w:iCs/>
      <w:sz w:val="20"/>
      <w:szCs w:val="20"/>
    </w:rPr>
  </w:style>
  <w:style w:type="paragraph" w:styleId="Heading3">
    <w:name w:val="heading 3"/>
    <w:next w:val="Normal"/>
    <w:link w:val="Heading3Char"/>
    <w:autoRedefine/>
    <w:uiPriority w:val="9"/>
    <w:unhideWhenUsed/>
    <w:qFormat/>
    <w:rsid w:val="005E2A64"/>
    <w:pPr>
      <w:keepNext/>
      <w:keepLines/>
      <w:numPr>
        <w:numId w:val="4"/>
      </w:numPr>
      <w:spacing w:before="120" w:after="120"/>
      <w:outlineLvl w:val="2"/>
    </w:pPr>
    <w:rPr>
      <w:rFonts w:ascii="Arial" w:eastAsiaTheme="majorEastAsia" w:hAnsi="Arial" w:cstheme="majorBidi"/>
      <w:b/>
      <w:bCs/>
      <w:i/>
      <w:sz w:val="20"/>
    </w:rPr>
  </w:style>
  <w:style w:type="paragraph" w:styleId="Heading4">
    <w:name w:val="heading 4"/>
    <w:basedOn w:val="Normal"/>
    <w:next w:val="Normal"/>
    <w:link w:val="Heading4Char"/>
    <w:uiPriority w:val="9"/>
    <w:unhideWhenUsed/>
    <w:qFormat/>
    <w:rsid w:val="00573950"/>
    <w:pPr>
      <w:keepNext/>
      <w:keepLines/>
      <w:numPr>
        <w:ilvl w:val="3"/>
        <w:numId w:val="2"/>
      </w:numPr>
      <w:spacing w:before="200" w:after="0"/>
      <w:outlineLvl w:val="3"/>
    </w:pPr>
    <w:rPr>
      <w:rFonts w:eastAsiaTheme="majorEastAsia" w:cstheme="majorBidi"/>
      <w:b/>
      <w:bCs/>
      <w:i/>
      <w:iCs/>
      <w:color w:val="2F2B20" w:themeColor="text1"/>
    </w:rPr>
  </w:style>
  <w:style w:type="paragraph" w:styleId="Heading5">
    <w:name w:val="heading 5"/>
    <w:basedOn w:val="Normal"/>
    <w:next w:val="Normal"/>
    <w:link w:val="Heading5Char"/>
    <w:uiPriority w:val="9"/>
    <w:semiHidden/>
    <w:unhideWhenUsed/>
    <w:qFormat/>
    <w:rsid w:val="00B74F54"/>
    <w:pPr>
      <w:keepNext/>
      <w:keepLines/>
      <w:numPr>
        <w:ilvl w:val="4"/>
        <w:numId w:val="2"/>
      </w:numPr>
      <w:spacing w:before="200" w:after="0"/>
      <w:outlineLvl w:val="4"/>
    </w:pPr>
    <w:rPr>
      <w:rFonts w:asciiTheme="majorHAnsi" w:eastAsiaTheme="majorEastAsia" w:hAnsiTheme="majorHAnsi" w:cstheme="majorBidi"/>
      <w:color w:val="575539" w:themeColor="accent1" w:themeShade="7F"/>
    </w:rPr>
  </w:style>
  <w:style w:type="paragraph" w:styleId="Heading6">
    <w:name w:val="heading 6"/>
    <w:basedOn w:val="Normal"/>
    <w:next w:val="Normal"/>
    <w:link w:val="Heading6Char"/>
    <w:uiPriority w:val="9"/>
    <w:semiHidden/>
    <w:unhideWhenUsed/>
    <w:qFormat/>
    <w:rsid w:val="00B74F54"/>
    <w:pPr>
      <w:keepNext/>
      <w:keepLines/>
      <w:numPr>
        <w:ilvl w:val="5"/>
        <w:numId w:val="2"/>
      </w:numPr>
      <w:spacing w:before="200" w:after="0"/>
      <w:outlineLvl w:val="5"/>
    </w:pPr>
    <w:rPr>
      <w:rFonts w:asciiTheme="majorHAnsi" w:eastAsiaTheme="majorEastAsia" w:hAnsiTheme="majorHAnsi" w:cstheme="majorBidi"/>
      <w:i/>
      <w:iCs/>
      <w:color w:val="575539" w:themeColor="accent1" w:themeShade="7F"/>
    </w:rPr>
  </w:style>
  <w:style w:type="paragraph" w:styleId="Heading7">
    <w:name w:val="heading 7"/>
    <w:basedOn w:val="Normal"/>
    <w:next w:val="Normal"/>
    <w:link w:val="Heading7Char"/>
    <w:uiPriority w:val="9"/>
    <w:semiHidden/>
    <w:unhideWhenUsed/>
    <w:qFormat/>
    <w:rsid w:val="00B74F54"/>
    <w:pPr>
      <w:keepNext/>
      <w:keepLines/>
      <w:numPr>
        <w:ilvl w:val="6"/>
        <w:numId w:val="2"/>
      </w:numPr>
      <w:spacing w:before="200" w:after="0"/>
      <w:outlineLvl w:val="6"/>
    </w:pPr>
    <w:rPr>
      <w:rFonts w:asciiTheme="majorHAnsi" w:eastAsiaTheme="majorEastAsia" w:hAnsiTheme="majorHAnsi" w:cstheme="majorBidi"/>
      <w:i/>
      <w:iCs/>
      <w:color w:val="6F654B" w:themeColor="text1" w:themeTint="BF"/>
    </w:rPr>
  </w:style>
  <w:style w:type="paragraph" w:styleId="Heading8">
    <w:name w:val="heading 8"/>
    <w:basedOn w:val="Normal"/>
    <w:next w:val="Normal"/>
    <w:link w:val="Heading8Char"/>
    <w:uiPriority w:val="9"/>
    <w:semiHidden/>
    <w:unhideWhenUsed/>
    <w:qFormat/>
    <w:rsid w:val="00B74F54"/>
    <w:pPr>
      <w:keepNext/>
      <w:keepLines/>
      <w:numPr>
        <w:ilvl w:val="7"/>
        <w:numId w:val="2"/>
      </w:numPr>
      <w:spacing w:before="200" w:after="0"/>
      <w:outlineLvl w:val="7"/>
    </w:pPr>
    <w:rPr>
      <w:rFonts w:asciiTheme="majorHAnsi" w:eastAsiaTheme="majorEastAsia" w:hAnsiTheme="majorHAnsi" w:cstheme="majorBidi"/>
      <w:color w:val="6F654B" w:themeColor="text1" w:themeTint="BF"/>
      <w:szCs w:val="20"/>
    </w:rPr>
  </w:style>
  <w:style w:type="paragraph" w:styleId="Heading9">
    <w:name w:val="heading 9"/>
    <w:basedOn w:val="Normal"/>
    <w:next w:val="Normal"/>
    <w:link w:val="Heading9Char"/>
    <w:uiPriority w:val="9"/>
    <w:semiHidden/>
    <w:unhideWhenUsed/>
    <w:qFormat/>
    <w:rsid w:val="00B74F54"/>
    <w:pPr>
      <w:keepNext/>
      <w:keepLines/>
      <w:numPr>
        <w:ilvl w:val="8"/>
        <w:numId w:val="2"/>
      </w:numPr>
      <w:spacing w:before="200" w:after="0"/>
      <w:outlineLvl w:val="8"/>
    </w:pPr>
    <w:rPr>
      <w:rFonts w:asciiTheme="majorHAnsi" w:eastAsiaTheme="majorEastAsia" w:hAnsiTheme="majorHAnsi" w:cstheme="majorBidi"/>
      <w:i/>
      <w:iCs/>
      <w:color w:val="6F654B"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OAofficesubtitlesCoverstyles">
    <w:name w:val="IFOA office sub titles (Cover styles)"/>
    <w:basedOn w:val="Normal"/>
    <w:link w:val="IFOAofficesubtitlesCoverstylesChar"/>
    <w:uiPriority w:val="99"/>
    <w:rsid w:val="00404DA5"/>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404DA5"/>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404DA5"/>
    <w:rPr>
      <w:rFonts w:ascii="Gotham Bold" w:hAnsi="Gotham Bold" w:cs="Gotham Bold"/>
      <w:b/>
      <w:bCs/>
      <w:color w:val="FFFFFF"/>
      <w:sz w:val="19"/>
      <w:szCs w:val="19"/>
    </w:rPr>
  </w:style>
  <w:style w:type="character" w:customStyle="1" w:styleId="IFOAaddresscontactdetailsCoverstylesChar">
    <w:name w:val="IFOA address &amp; contact details (Cover styles) Char"/>
    <w:basedOn w:val="DefaultParagraphFont"/>
    <w:link w:val="IFOAaddresscontactdetailsCoverstyles"/>
    <w:uiPriority w:val="99"/>
    <w:rsid w:val="00404DA5"/>
    <w:rPr>
      <w:rFonts w:ascii="Gotham Narrow Book" w:hAnsi="Gotham Narrow Book" w:cs="Gotham Narrow Book"/>
      <w:color w:val="FFFFFF"/>
      <w:sz w:val="17"/>
      <w:szCs w:val="17"/>
    </w:rPr>
  </w:style>
  <w:style w:type="paragraph" w:customStyle="1" w:styleId="CityName">
    <w:name w:val="City Name"/>
    <w:basedOn w:val="Normal"/>
    <w:link w:val="CityNameChar"/>
    <w:qFormat/>
    <w:rsid w:val="00404DA5"/>
    <w:pPr>
      <w:framePr w:hSpace="180" w:wrap="around" w:vAnchor="page" w:hAnchor="margin" w:x="398" w:y="3320"/>
      <w:autoSpaceDE w:val="0"/>
      <w:autoSpaceDN w:val="0"/>
      <w:adjustRightInd w:val="0"/>
      <w:spacing w:before="113" w:after="57" w:line="250" w:lineRule="atLeast"/>
      <w:textAlignment w:val="center"/>
    </w:pPr>
    <w:rPr>
      <w:rFonts w:cs="Arial"/>
      <w:b/>
      <w:bCs/>
      <w:color w:val="FFFFFF"/>
      <w:sz w:val="19"/>
      <w:szCs w:val="19"/>
    </w:rPr>
  </w:style>
  <w:style w:type="paragraph" w:customStyle="1" w:styleId="CityAddress">
    <w:name w:val="City Address"/>
    <w:basedOn w:val="Normal"/>
    <w:link w:val="CityAddressChar"/>
    <w:qFormat/>
    <w:rsid w:val="00404DA5"/>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cs="Arial"/>
      <w:color w:val="FFFFFF"/>
      <w:sz w:val="17"/>
      <w:szCs w:val="17"/>
    </w:rPr>
  </w:style>
  <w:style w:type="character" w:customStyle="1" w:styleId="CityNameChar">
    <w:name w:val="City Name Char"/>
    <w:basedOn w:val="DefaultParagraphFont"/>
    <w:link w:val="CityName"/>
    <w:rsid w:val="00404DA5"/>
    <w:rPr>
      <w:rFonts w:ascii="Arial" w:hAnsi="Arial" w:cs="Arial"/>
      <w:b/>
      <w:bCs/>
      <w:color w:val="FFFFFF"/>
      <w:sz w:val="19"/>
      <w:szCs w:val="19"/>
    </w:rPr>
  </w:style>
  <w:style w:type="character" w:customStyle="1" w:styleId="CityAddressChar">
    <w:name w:val="City Address Char"/>
    <w:basedOn w:val="DefaultParagraphFont"/>
    <w:link w:val="CityAddress"/>
    <w:rsid w:val="00404DA5"/>
    <w:rPr>
      <w:rFonts w:ascii="Arial" w:hAnsi="Arial" w:cs="Arial"/>
      <w:color w:val="FFFFFF"/>
      <w:sz w:val="17"/>
      <w:szCs w:val="17"/>
    </w:rPr>
  </w:style>
  <w:style w:type="paragraph" w:customStyle="1" w:styleId="backcoverbodycopy">
    <w:name w:val="back cover bodycopy"/>
    <w:basedOn w:val="Normal"/>
    <w:link w:val="backcoverbodycopyChar"/>
    <w:qFormat/>
    <w:rsid w:val="00404DA5"/>
    <w:pPr>
      <w:framePr w:hSpace="180" w:wrap="around" w:vAnchor="page" w:hAnchor="margin" w:x="398" w:y="3320"/>
      <w:spacing w:after="0" w:line="250" w:lineRule="exact"/>
    </w:pPr>
    <w:rPr>
      <w:rFonts w:cs="Arial"/>
      <w:color w:val="FFFFFF" w:themeColor="background1"/>
      <w:szCs w:val="20"/>
    </w:rPr>
  </w:style>
  <w:style w:type="character" w:customStyle="1" w:styleId="backcoverbodycopyChar">
    <w:name w:val="back cover bodycopy Char"/>
    <w:basedOn w:val="DefaultParagraphFont"/>
    <w:link w:val="backcoverbodycopy"/>
    <w:rsid w:val="00404DA5"/>
    <w:rPr>
      <w:rFonts w:ascii="Arial" w:hAnsi="Arial" w:cs="Arial"/>
      <w:color w:val="FFFFFF" w:themeColor="background1"/>
      <w:sz w:val="20"/>
      <w:szCs w:val="20"/>
    </w:rPr>
  </w:style>
  <w:style w:type="character" w:styleId="Hyperlink">
    <w:name w:val="Hyperlink"/>
    <w:basedOn w:val="DefaultParagraphFont"/>
    <w:uiPriority w:val="99"/>
    <w:unhideWhenUsed/>
    <w:rsid w:val="00404DA5"/>
    <w:rPr>
      <w:color w:val="D25814" w:themeColor="hyperlink"/>
      <w:u w:val="single"/>
    </w:rPr>
  </w:style>
  <w:style w:type="paragraph" w:customStyle="1" w:styleId="Webaddress">
    <w:name w:val="Web address"/>
    <w:basedOn w:val="Normal"/>
    <w:link w:val="WebaddressChar"/>
    <w:qFormat/>
    <w:rsid w:val="00404DA5"/>
    <w:pPr>
      <w:suppressAutoHyphens/>
      <w:autoSpaceDE w:val="0"/>
      <w:autoSpaceDN w:val="0"/>
      <w:adjustRightInd w:val="0"/>
      <w:spacing w:after="0" w:line="170" w:lineRule="atLeast"/>
      <w:textAlignment w:val="center"/>
    </w:pPr>
    <w:rPr>
      <w:rFonts w:cs="Arial"/>
      <w:color w:val="FFFFFF"/>
      <w:sz w:val="36"/>
      <w:szCs w:val="36"/>
    </w:rPr>
  </w:style>
  <w:style w:type="character" w:customStyle="1" w:styleId="WebaddressChar">
    <w:name w:val="Web address Char"/>
    <w:basedOn w:val="DefaultParagraphFont"/>
    <w:link w:val="Webaddress"/>
    <w:rsid w:val="00404DA5"/>
    <w:rPr>
      <w:rFonts w:ascii="Arial" w:hAnsi="Arial" w:cs="Arial"/>
      <w:color w:val="FFFFFF"/>
      <w:sz w:val="36"/>
      <w:szCs w:val="36"/>
    </w:rPr>
  </w:style>
  <w:style w:type="paragraph" w:styleId="ListParagraph">
    <w:name w:val="List Paragraph"/>
    <w:basedOn w:val="Normal"/>
    <w:link w:val="ListParagraphChar"/>
    <w:uiPriority w:val="34"/>
    <w:qFormat/>
    <w:rsid w:val="003D4628"/>
    <w:pPr>
      <w:spacing w:after="0" w:line="280" w:lineRule="atLeast"/>
      <w:ind w:left="720"/>
      <w:contextualSpacing/>
    </w:pPr>
    <w:rPr>
      <w:rFonts w:eastAsiaTheme="minorEastAsia"/>
      <w:lang w:eastAsia="en-GB"/>
    </w:rPr>
  </w:style>
  <w:style w:type="character" w:styleId="CommentReference">
    <w:name w:val="annotation reference"/>
    <w:uiPriority w:val="99"/>
    <w:rsid w:val="003D4628"/>
    <w:rPr>
      <w:sz w:val="16"/>
      <w:szCs w:val="16"/>
    </w:rPr>
  </w:style>
  <w:style w:type="paragraph" w:styleId="CommentText">
    <w:name w:val="annotation text"/>
    <w:basedOn w:val="Normal"/>
    <w:link w:val="CommentTextChar"/>
    <w:uiPriority w:val="99"/>
    <w:rsid w:val="003D4628"/>
    <w:pPr>
      <w:spacing w:after="0" w:line="240" w:lineRule="auto"/>
    </w:pPr>
    <w:rPr>
      <w:rFonts w:ascii="Times New Roman" w:eastAsia="Times New Roman" w:hAnsi="Times New Roman" w:cs="Times New Roman"/>
      <w:szCs w:val="20"/>
      <w:lang w:eastAsia="en-GB"/>
    </w:rPr>
  </w:style>
  <w:style w:type="character" w:customStyle="1" w:styleId="CommentTextChar">
    <w:name w:val="Comment Text Char"/>
    <w:basedOn w:val="DefaultParagraphFont"/>
    <w:link w:val="CommentText"/>
    <w:uiPriority w:val="99"/>
    <w:rsid w:val="003D4628"/>
    <w:rPr>
      <w:rFonts w:ascii="Times New Roman" w:eastAsia="Times New Roman" w:hAnsi="Times New Roman" w:cs="Times New Roman"/>
      <w:sz w:val="20"/>
      <w:szCs w:val="20"/>
      <w:lang w:eastAsia="en-GB"/>
    </w:rPr>
  </w:style>
  <w:style w:type="paragraph" w:styleId="PlainText">
    <w:name w:val="Plain Text"/>
    <w:link w:val="PlainTextChar"/>
    <w:uiPriority w:val="99"/>
    <w:rsid w:val="008B58F0"/>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val="en-US" w:eastAsia="en-GB"/>
    </w:rPr>
  </w:style>
  <w:style w:type="character" w:customStyle="1" w:styleId="PlainTextChar">
    <w:name w:val="Plain Text Char"/>
    <w:basedOn w:val="DefaultParagraphFont"/>
    <w:link w:val="PlainText"/>
    <w:uiPriority w:val="99"/>
    <w:rsid w:val="008B58F0"/>
    <w:rPr>
      <w:rFonts w:ascii="Consolas" w:eastAsia="Consolas" w:hAnsi="Consolas" w:cs="Consolas"/>
      <w:color w:val="000000"/>
      <w:sz w:val="21"/>
      <w:szCs w:val="21"/>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39653C"/>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9653C"/>
    <w:rPr>
      <w:rFonts w:ascii="Times New Roman" w:eastAsia="Times New Roman" w:hAnsi="Times New Roman" w:cs="Times New Roman"/>
      <w:b/>
      <w:bCs/>
      <w:sz w:val="20"/>
      <w:szCs w:val="20"/>
      <w:lang w:eastAsia="en-GB"/>
    </w:rPr>
  </w:style>
  <w:style w:type="paragraph" w:customStyle="1" w:styleId="Default">
    <w:name w:val="Default"/>
    <w:rsid w:val="00E43C5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74F54"/>
    <w:rPr>
      <w:rFonts w:ascii="Arial" w:eastAsia="Times New Roman" w:hAnsi="Arial" w:cs="Times New Roman"/>
      <w:b/>
      <w:color w:val="2F2B20" w:themeColor="text1"/>
      <w:kern w:val="28"/>
      <w:sz w:val="20"/>
      <w:szCs w:val="20"/>
    </w:rPr>
  </w:style>
  <w:style w:type="character" w:customStyle="1" w:styleId="Heading2Char">
    <w:name w:val="Heading 2 Char"/>
    <w:basedOn w:val="DefaultParagraphFont"/>
    <w:link w:val="Heading2"/>
    <w:rsid w:val="00D937FC"/>
    <w:rPr>
      <w:rFonts w:ascii="Arial" w:eastAsiaTheme="minorEastAsia" w:hAnsi="Arial" w:cs="Times New Roman"/>
      <w:b/>
      <w:iCs/>
      <w:sz w:val="20"/>
      <w:szCs w:val="20"/>
    </w:rPr>
  </w:style>
  <w:style w:type="paragraph" w:customStyle="1" w:styleId="BodyTextGrey">
    <w:name w:val="Body Text Grey"/>
    <w:basedOn w:val="Normal"/>
    <w:qFormat/>
    <w:rsid w:val="00FF3968"/>
    <w:pPr>
      <w:spacing w:line="280" w:lineRule="atLeast"/>
    </w:pPr>
    <w:rPr>
      <w:rFonts w:eastAsia="Times New Roman" w:cs="Arial"/>
      <w:iCs/>
      <w:color w:val="4B4B4B"/>
      <w:szCs w:val="20"/>
    </w:rPr>
  </w:style>
  <w:style w:type="numbering" w:customStyle="1" w:styleId="HRBullet">
    <w:name w:val="HR Bullet"/>
    <w:uiPriority w:val="99"/>
    <w:rsid w:val="00FF3968"/>
    <w:pPr>
      <w:numPr>
        <w:numId w:val="1"/>
      </w:numPr>
    </w:pPr>
  </w:style>
  <w:style w:type="paragraph" w:customStyle="1" w:styleId="BulletHymans">
    <w:name w:val="Bullet Hymans"/>
    <w:uiPriority w:val="2"/>
    <w:qFormat/>
    <w:rsid w:val="00FF3968"/>
    <w:pPr>
      <w:numPr>
        <w:numId w:val="1"/>
      </w:numPr>
      <w:spacing w:after="140" w:line="280" w:lineRule="exact"/>
    </w:pPr>
    <w:rPr>
      <w:rFonts w:ascii="Arial" w:eastAsia="Times New Roman" w:hAnsi="Arial" w:cs="Arial"/>
      <w:iCs/>
      <w:color w:val="4B4B4B"/>
      <w:sz w:val="20"/>
      <w:szCs w:val="20"/>
    </w:rPr>
  </w:style>
  <w:style w:type="character" w:customStyle="1" w:styleId="ListParagraphChar">
    <w:name w:val="List Paragraph Char"/>
    <w:basedOn w:val="DefaultParagraphFont"/>
    <w:link w:val="ListParagraph"/>
    <w:uiPriority w:val="34"/>
    <w:locked/>
    <w:rsid w:val="00FF3968"/>
    <w:rPr>
      <w:rFonts w:ascii="Arial" w:eastAsiaTheme="minorEastAsia" w:hAnsi="Arial"/>
      <w:sz w:val="20"/>
      <w:lang w:eastAsia="en-GB"/>
    </w:rPr>
  </w:style>
  <w:style w:type="character" w:customStyle="1" w:styleId="Heading3Char">
    <w:name w:val="Heading 3 Char"/>
    <w:basedOn w:val="DefaultParagraphFont"/>
    <w:link w:val="Heading3"/>
    <w:uiPriority w:val="9"/>
    <w:rsid w:val="005E2A64"/>
    <w:rPr>
      <w:rFonts w:ascii="Arial" w:eastAsiaTheme="majorEastAsia" w:hAnsi="Arial" w:cstheme="majorBidi"/>
      <w:b/>
      <w:bCs/>
      <w:i/>
      <w:sz w:val="20"/>
    </w:rPr>
  </w:style>
  <w:style w:type="character" w:customStyle="1" w:styleId="Heading4Char">
    <w:name w:val="Heading 4 Char"/>
    <w:basedOn w:val="DefaultParagraphFont"/>
    <w:link w:val="Heading4"/>
    <w:uiPriority w:val="9"/>
    <w:rsid w:val="00573950"/>
    <w:rPr>
      <w:rFonts w:ascii="Arial" w:eastAsiaTheme="majorEastAsia" w:hAnsi="Arial" w:cstheme="majorBidi"/>
      <w:b/>
      <w:bCs/>
      <w:i/>
      <w:iCs/>
      <w:color w:val="2F2B20" w:themeColor="text1"/>
      <w:sz w:val="20"/>
    </w:rPr>
  </w:style>
  <w:style w:type="character" w:customStyle="1" w:styleId="Heading5Char">
    <w:name w:val="Heading 5 Char"/>
    <w:basedOn w:val="DefaultParagraphFont"/>
    <w:link w:val="Heading5"/>
    <w:uiPriority w:val="9"/>
    <w:semiHidden/>
    <w:rsid w:val="00B74F54"/>
    <w:rPr>
      <w:rFonts w:asciiTheme="majorHAnsi" w:eastAsiaTheme="majorEastAsia" w:hAnsiTheme="majorHAnsi" w:cstheme="majorBidi"/>
      <w:color w:val="575539" w:themeColor="accent1" w:themeShade="7F"/>
      <w:sz w:val="20"/>
    </w:rPr>
  </w:style>
  <w:style w:type="character" w:customStyle="1" w:styleId="Heading6Char">
    <w:name w:val="Heading 6 Char"/>
    <w:basedOn w:val="DefaultParagraphFont"/>
    <w:link w:val="Heading6"/>
    <w:uiPriority w:val="9"/>
    <w:semiHidden/>
    <w:rsid w:val="00B74F54"/>
    <w:rPr>
      <w:rFonts w:asciiTheme="majorHAnsi" w:eastAsiaTheme="majorEastAsia" w:hAnsiTheme="majorHAnsi" w:cstheme="majorBidi"/>
      <w:i/>
      <w:iCs/>
      <w:color w:val="575539" w:themeColor="accent1" w:themeShade="7F"/>
      <w:sz w:val="20"/>
    </w:rPr>
  </w:style>
  <w:style w:type="character" w:customStyle="1" w:styleId="Heading7Char">
    <w:name w:val="Heading 7 Char"/>
    <w:basedOn w:val="DefaultParagraphFont"/>
    <w:link w:val="Heading7"/>
    <w:uiPriority w:val="9"/>
    <w:semiHidden/>
    <w:rsid w:val="00B74F54"/>
    <w:rPr>
      <w:rFonts w:asciiTheme="majorHAnsi" w:eastAsiaTheme="majorEastAsia" w:hAnsiTheme="majorHAnsi" w:cstheme="majorBidi"/>
      <w:i/>
      <w:iCs/>
      <w:color w:val="6F654B" w:themeColor="text1" w:themeTint="BF"/>
      <w:sz w:val="20"/>
    </w:rPr>
  </w:style>
  <w:style w:type="character" w:customStyle="1" w:styleId="Heading8Char">
    <w:name w:val="Heading 8 Char"/>
    <w:basedOn w:val="DefaultParagraphFont"/>
    <w:link w:val="Heading8"/>
    <w:uiPriority w:val="9"/>
    <w:semiHidden/>
    <w:rsid w:val="00B74F54"/>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sid w:val="00B74F54"/>
    <w:rPr>
      <w:rFonts w:asciiTheme="majorHAnsi" w:eastAsiaTheme="majorEastAsia" w:hAnsiTheme="majorHAnsi" w:cstheme="majorBidi"/>
      <w:i/>
      <w:iCs/>
      <w:color w:val="6F654B" w:themeColor="text1" w:themeTint="BF"/>
      <w:sz w:val="20"/>
      <w:szCs w:val="20"/>
    </w:rPr>
  </w:style>
  <w:style w:type="character" w:styleId="PlaceholderText">
    <w:name w:val="Placeholder Text"/>
    <w:basedOn w:val="DefaultParagraphFont"/>
    <w:uiPriority w:val="99"/>
    <w:semiHidden/>
    <w:rsid w:val="00457422"/>
    <w:rPr>
      <w:color w:val="808080"/>
    </w:rPr>
  </w:style>
  <w:style w:type="paragraph" w:styleId="Revision">
    <w:name w:val="Revision"/>
    <w:hidden/>
    <w:uiPriority w:val="99"/>
    <w:semiHidden/>
    <w:rsid w:val="00F1785F"/>
    <w:pPr>
      <w:spacing w:after="0" w:line="240" w:lineRule="auto"/>
    </w:pPr>
    <w:rPr>
      <w:rFonts w:ascii="Arial" w:hAnsi="Arial"/>
      <w:sz w:val="20"/>
    </w:rPr>
  </w:style>
  <w:style w:type="paragraph" w:styleId="NormalWeb">
    <w:name w:val="Normal (Web)"/>
    <w:basedOn w:val="Normal"/>
    <w:uiPriority w:val="99"/>
    <w:semiHidden/>
    <w:unhideWhenUsed/>
    <w:rsid w:val="003532B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A4543A"/>
    <w:rPr>
      <w:i/>
      <w:iCs/>
    </w:rPr>
  </w:style>
  <w:style w:type="paragraph" w:styleId="FootnoteText">
    <w:name w:val="footnote text"/>
    <w:basedOn w:val="Normal"/>
    <w:link w:val="FootnoteTextChar"/>
    <w:uiPriority w:val="99"/>
    <w:semiHidden/>
    <w:unhideWhenUsed/>
    <w:rsid w:val="00B80F67"/>
    <w:pPr>
      <w:spacing w:after="0" w:line="240" w:lineRule="auto"/>
    </w:pPr>
    <w:rPr>
      <w:szCs w:val="20"/>
    </w:rPr>
  </w:style>
  <w:style w:type="character" w:customStyle="1" w:styleId="FootnoteTextChar">
    <w:name w:val="Footnote Text Char"/>
    <w:basedOn w:val="DefaultParagraphFont"/>
    <w:link w:val="FootnoteText"/>
    <w:uiPriority w:val="99"/>
    <w:semiHidden/>
    <w:rsid w:val="00B80F67"/>
    <w:rPr>
      <w:rFonts w:ascii="Arial" w:hAnsi="Arial"/>
      <w:sz w:val="20"/>
      <w:szCs w:val="20"/>
    </w:rPr>
  </w:style>
  <w:style w:type="character" w:styleId="FootnoteReference">
    <w:name w:val="footnote reference"/>
    <w:basedOn w:val="DefaultParagraphFont"/>
    <w:uiPriority w:val="99"/>
    <w:semiHidden/>
    <w:unhideWhenUsed/>
    <w:rsid w:val="00B80F67"/>
    <w:rPr>
      <w:vertAlign w:val="superscript"/>
    </w:rPr>
  </w:style>
  <w:style w:type="table" w:styleId="LightShading-Accent6">
    <w:name w:val="Light Shading Accent 6"/>
    <w:basedOn w:val="TableNormal"/>
    <w:uiPriority w:val="60"/>
    <w:rsid w:val="00665F5D"/>
    <w:pPr>
      <w:spacing w:after="0" w:line="240" w:lineRule="auto"/>
    </w:pPr>
    <w:rPr>
      <w:color w:val="8D785D" w:themeColor="accent6" w:themeShade="BF"/>
    </w:rPr>
    <w:tblPr>
      <w:tblStyleRowBandSize w:val="1"/>
      <w:tblStyleColBandSize w:val="1"/>
      <w:tblBorders>
        <w:top w:val="single" w:sz="8" w:space="0" w:color="B1A089" w:themeColor="accent6"/>
        <w:bottom w:val="single" w:sz="8" w:space="0" w:color="B1A089" w:themeColor="accent6"/>
      </w:tblBorders>
    </w:tblPr>
    <w:tblStylePr w:type="firstRow">
      <w:pPr>
        <w:spacing w:before="0" w:after="0" w:line="240" w:lineRule="auto"/>
      </w:pPr>
      <w:rPr>
        <w:b/>
        <w:bCs/>
      </w:rPr>
      <w:tblPr/>
      <w:tcPr>
        <w:tcBorders>
          <w:top w:val="single" w:sz="8" w:space="0" w:color="B1A089" w:themeColor="accent6"/>
          <w:left w:val="nil"/>
          <w:bottom w:val="single" w:sz="8" w:space="0" w:color="B1A089" w:themeColor="accent6"/>
          <w:right w:val="nil"/>
          <w:insideH w:val="nil"/>
          <w:insideV w:val="nil"/>
        </w:tcBorders>
      </w:tcPr>
    </w:tblStylePr>
    <w:tblStylePr w:type="lastRow">
      <w:pPr>
        <w:spacing w:before="0" w:after="0" w:line="240" w:lineRule="auto"/>
      </w:pPr>
      <w:rPr>
        <w:b/>
        <w:bCs/>
      </w:rPr>
      <w:tblPr/>
      <w:tcPr>
        <w:tcBorders>
          <w:top w:val="single" w:sz="8" w:space="0" w:color="B1A089" w:themeColor="accent6"/>
          <w:left w:val="nil"/>
          <w:bottom w:val="single" w:sz="8" w:space="0" w:color="B1A08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7E1" w:themeFill="accent6" w:themeFillTint="3F"/>
      </w:tcPr>
    </w:tblStylePr>
    <w:tblStylePr w:type="band1Horz">
      <w:tblPr/>
      <w:tcPr>
        <w:tcBorders>
          <w:left w:val="nil"/>
          <w:right w:val="nil"/>
          <w:insideH w:val="nil"/>
          <w:insideV w:val="nil"/>
        </w:tcBorders>
        <w:shd w:val="clear" w:color="auto" w:fill="EBE7E1" w:themeFill="accent6" w:themeFillTint="3F"/>
      </w:tcPr>
    </w:tblStylePr>
  </w:style>
  <w:style w:type="table" w:styleId="MediumShading1-Accent6">
    <w:name w:val="Medium Shading 1 Accent 6"/>
    <w:basedOn w:val="TableNormal"/>
    <w:uiPriority w:val="63"/>
    <w:rsid w:val="00665F5D"/>
    <w:pPr>
      <w:spacing w:after="0" w:line="240" w:lineRule="auto"/>
    </w:pPr>
    <w:tblPr>
      <w:tblStyleRowBandSize w:val="1"/>
      <w:tblStyleColBandSize w:val="1"/>
      <w:tblBorders>
        <w:top w:val="single" w:sz="8"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single" w:sz="8" w:space="0" w:color="C4B7A6" w:themeColor="accent6" w:themeTint="BF"/>
      </w:tblBorders>
    </w:tblPr>
    <w:tblStylePr w:type="firstRow">
      <w:pPr>
        <w:spacing w:before="0" w:after="0" w:line="240" w:lineRule="auto"/>
      </w:pPr>
      <w:rPr>
        <w:b/>
        <w:bCs/>
        <w:color w:val="FFFFFF" w:themeColor="background1"/>
      </w:rPr>
      <w:tblPr/>
      <w:tcPr>
        <w:tcBorders>
          <w:top w:val="single" w:sz="8"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nil"/>
          <w:insideV w:val="nil"/>
        </w:tcBorders>
        <w:shd w:val="clear" w:color="auto" w:fill="B1A089" w:themeFill="accent6"/>
      </w:tcPr>
    </w:tblStylePr>
    <w:tblStylePr w:type="lastRow">
      <w:pPr>
        <w:spacing w:before="0" w:after="0" w:line="240" w:lineRule="auto"/>
      </w:pPr>
      <w:rPr>
        <w:b/>
        <w:bCs/>
      </w:rPr>
      <w:tblPr/>
      <w:tcPr>
        <w:tcBorders>
          <w:top w:val="double" w:sz="6"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7E1" w:themeFill="accent6" w:themeFillTint="3F"/>
      </w:tcPr>
    </w:tblStylePr>
    <w:tblStylePr w:type="band1Horz">
      <w:tblPr/>
      <w:tcPr>
        <w:tcBorders>
          <w:insideH w:val="nil"/>
          <w:insideV w:val="nil"/>
        </w:tcBorders>
        <w:shd w:val="clear" w:color="auto" w:fill="EBE7E1" w:themeFill="accent6" w:themeFillTint="3F"/>
      </w:tcPr>
    </w:tblStylePr>
    <w:tblStylePr w:type="band2Horz">
      <w:tblPr/>
      <w:tcPr>
        <w:tcBorders>
          <w:insideH w:val="nil"/>
          <w:insideV w:val="nil"/>
        </w:tcBorders>
      </w:tcPr>
    </w:tblStylePr>
  </w:style>
  <w:style w:type="paragraph" w:styleId="ListBullet">
    <w:name w:val="List Bullet"/>
    <w:basedOn w:val="Normal"/>
    <w:link w:val="ListBulletChar"/>
    <w:uiPriority w:val="99"/>
    <w:unhideWhenUsed/>
    <w:qFormat/>
    <w:rsid w:val="00334761"/>
    <w:pPr>
      <w:numPr>
        <w:numId w:val="3"/>
      </w:numPr>
      <w:spacing w:before="120" w:after="120" w:line="240" w:lineRule="auto"/>
    </w:pPr>
    <w:rPr>
      <w:rFonts w:eastAsia="Calibri" w:cs="Times New Roman"/>
    </w:rPr>
  </w:style>
  <w:style w:type="character" w:customStyle="1" w:styleId="ListBulletChar">
    <w:name w:val="List Bullet Char"/>
    <w:link w:val="ListBullet"/>
    <w:uiPriority w:val="99"/>
    <w:locked/>
    <w:rsid w:val="00334761"/>
    <w:rPr>
      <w:rFonts w:ascii="Arial" w:eastAsia="Calibri" w:hAnsi="Arial" w:cs="Times New Roman"/>
      <w:sz w:val="20"/>
    </w:rPr>
  </w:style>
  <w:style w:type="paragraph" w:customStyle="1" w:styleId="Heading3Modified">
    <w:name w:val="Heading 3 Modified"/>
    <w:basedOn w:val="Heading2"/>
    <w:link w:val="Heading3ModifiedChar"/>
    <w:qFormat/>
    <w:rsid w:val="005E2A64"/>
    <w:pPr>
      <w:numPr>
        <w:ilvl w:val="2"/>
      </w:numPr>
    </w:pPr>
  </w:style>
  <w:style w:type="character" w:customStyle="1" w:styleId="Heading3ModifiedChar">
    <w:name w:val="Heading 3 Modified Char"/>
    <w:basedOn w:val="Heading2Char"/>
    <w:link w:val="Heading3Modified"/>
    <w:rsid w:val="005E2A64"/>
    <w:rPr>
      <w:rFonts w:ascii="Arial" w:eastAsiaTheme="minorEastAsia" w:hAnsi="Arial" w:cs="Times New Roman"/>
      <w:b/>
      <w:iCs/>
      <w:sz w:val="20"/>
      <w:szCs w:val="20"/>
    </w:rPr>
  </w:style>
  <w:style w:type="character" w:styleId="FollowedHyperlink">
    <w:name w:val="FollowedHyperlink"/>
    <w:basedOn w:val="DefaultParagraphFont"/>
    <w:uiPriority w:val="99"/>
    <w:semiHidden/>
    <w:unhideWhenUsed/>
    <w:rsid w:val="002D4083"/>
    <w:rPr>
      <w:color w:val="849A0A" w:themeColor="followedHyperlink"/>
      <w:u w:val="single"/>
    </w:rPr>
  </w:style>
  <w:style w:type="character" w:customStyle="1" w:styleId="tgc">
    <w:name w:val="_tgc"/>
    <w:basedOn w:val="DefaultParagraphFont"/>
    <w:rsid w:val="004F6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B2"/>
    <w:rPr>
      <w:rFonts w:ascii="Arial" w:hAnsi="Arial"/>
      <w:sz w:val="20"/>
    </w:rPr>
  </w:style>
  <w:style w:type="paragraph" w:styleId="Heading1">
    <w:name w:val="heading 1"/>
    <w:next w:val="BodyTextGrey"/>
    <w:link w:val="Heading1Char"/>
    <w:qFormat/>
    <w:rsid w:val="00B74F54"/>
    <w:pPr>
      <w:keepNext/>
      <w:keepLines/>
      <w:numPr>
        <w:numId w:val="2"/>
      </w:numPr>
      <w:spacing w:before="140" w:after="140" w:line="360" w:lineRule="atLeast"/>
      <w:outlineLvl w:val="0"/>
    </w:pPr>
    <w:rPr>
      <w:rFonts w:ascii="Arial" w:eastAsia="Times New Roman" w:hAnsi="Arial" w:cs="Times New Roman"/>
      <w:b/>
      <w:color w:val="2F2B20" w:themeColor="text1"/>
      <w:kern w:val="28"/>
      <w:sz w:val="20"/>
      <w:szCs w:val="20"/>
    </w:rPr>
  </w:style>
  <w:style w:type="paragraph" w:styleId="Heading2">
    <w:name w:val="heading 2"/>
    <w:next w:val="Normal"/>
    <w:link w:val="Heading2Char"/>
    <w:autoRedefine/>
    <w:qFormat/>
    <w:rsid w:val="00D937FC"/>
    <w:pPr>
      <w:keepNext/>
      <w:keepLines/>
      <w:numPr>
        <w:ilvl w:val="1"/>
        <w:numId w:val="2"/>
      </w:numPr>
      <w:spacing w:before="140" w:line="280" w:lineRule="atLeast"/>
      <w:ind w:left="426" w:hanging="426"/>
      <w:outlineLvl w:val="1"/>
    </w:pPr>
    <w:rPr>
      <w:rFonts w:ascii="Arial" w:eastAsiaTheme="minorEastAsia" w:hAnsi="Arial" w:cs="Times New Roman"/>
      <w:b/>
      <w:iCs/>
      <w:sz w:val="20"/>
      <w:szCs w:val="20"/>
    </w:rPr>
  </w:style>
  <w:style w:type="paragraph" w:styleId="Heading3">
    <w:name w:val="heading 3"/>
    <w:next w:val="Normal"/>
    <w:link w:val="Heading3Char"/>
    <w:autoRedefine/>
    <w:uiPriority w:val="9"/>
    <w:unhideWhenUsed/>
    <w:qFormat/>
    <w:rsid w:val="005E2A64"/>
    <w:pPr>
      <w:keepNext/>
      <w:keepLines/>
      <w:numPr>
        <w:numId w:val="4"/>
      </w:numPr>
      <w:spacing w:before="120" w:after="120"/>
      <w:outlineLvl w:val="2"/>
    </w:pPr>
    <w:rPr>
      <w:rFonts w:ascii="Arial" w:eastAsiaTheme="majorEastAsia" w:hAnsi="Arial" w:cstheme="majorBidi"/>
      <w:b/>
      <w:bCs/>
      <w:i/>
      <w:sz w:val="20"/>
    </w:rPr>
  </w:style>
  <w:style w:type="paragraph" w:styleId="Heading4">
    <w:name w:val="heading 4"/>
    <w:basedOn w:val="Normal"/>
    <w:next w:val="Normal"/>
    <w:link w:val="Heading4Char"/>
    <w:uiPriority w:val="9"/>
    <w:unhideWhenUsed/>
    <w:qFormat/>
    <w:rsid w:val="00573950"/>
    <w:pPr>
      <w:keepNext/>
      <w:keepLines/>
      <w:numPr>
        <w:ilvl w:val="3"/>
        <w:numId w:val="2"/>
      </w:numPr>
      <w:spacing w:before="200" w:after="0"/>
      <w:outlineLvl w:val="3"/>
    </w:pPr>
    <w:rPr>
      <w:rFonts w:eastAsiaTheme="majorEastAsia" w:cstheme="majorBidi"/>
      <w:b/>
      <w:bCs/>
      <w:i/>
      <w:iCs/>
      <w:color w:val="2F2B20" w:themeColor="text1"/>
    </w:rPr>
  </w:style>
  <w:style w:type="paragraph" w:styleId="Heading5">
    <w:name w:val="heading 5"/>
    <w:basedOn w:val="Normal"/>
    <w:next w:val="Normal"/>
    <w:link w:val="Heading5Char"/>
    <w:uiPriority w:val="9"/>
    <w:semiHidden/>
    <w:unhideWhenUsed/>
    <w:qFormat/>
    <w:rsid w:val="00B74F54"/>
    <w:pPr>
      <w:keepNext/>
      <w:keepLines/>
      <w:numPr>
        <w:ilvl w:val="4"/>
        <w:numId w:val="2"/>
      </w:numPr>
      <w:spacing w:before="200" w:after="0"/>
      <w:outlineLvl w:val="4"/>
    </w:pPr>
    <w:rPr>
      <w:rFonts w:asciiTheme="majorHAnsi" w:eastAsiaTheme="majorEastAsia" w:hAnsiTheme="majorHAnsi" w:cstheme="majorBidi"/>
      <w:color w:val="575539" w:themeColor="accent1" w:themeShade="7F"/>
    </w:rPr>
  </w:style>
  <w:style w:type="paragraph" w:styleId="Heading6">
    <w:name w:val="heading 6"/>
    <w:basedOn w:val="Normal"/>
    <w:next w:val="Normal"/>
    <w:link w:val="Heading6Char"/>
    <w:uiPriority w:val="9"/>
    <w:semiHidden/>
    <w:unhideWhenUsed/>
    <w:qFormat/>
    <w:rsid w:val="00B74F54"/>
    <w:pPr>
      <w:keepNext/>
      <w:keepLines/>
      <w:numPr>
        <w:ilvl w:val="5"/>
        <w:numId w:val="2"/>
      </w:numPr>
      <w:spacing w:before="200" w:after="0"/>
      <w:outlineLvl w:val="5"/>
    </w:pPr>
    <w:rPr>
      <w:rFonts w:asciiTheme="majorHAnsi" w:eastAsiaTheme="majorEastAsia" w:hAnsiTheme="majorHAnsi" w:cstheme="majorBidi"/>
      <w:i/>
      <w:iCs/>
      <w:color w:val="575539" w:themeColor="accent1" w:themeShade="7F"/>
    </w:rPr>
  </w:style>
  <w:style w:type="paragraph" w:styleId="Heading7">
    <w:name w:val="heading 7"/>
    <w:basedOn w:val="Normal"/>
    <w:next w:val="Normal"/>
    <w:link w:val="Heading7Char"/>
    <w:uiPriority w:val="9"/>
    <w:semiHidden/>
    <w:unhideWhenUsed/>
    <w:qFormat/>
    <w:rsid w:val="00B74F54"/>
    <w:pPr>
      <w:keepNext/>
      <w:keepLines/>
      <w:numPr>
        <w:ilvl w:val="6"/>
        <w:numId w:val="2"/>
      </w:numPr>
      <w:spacing w:before="200" w:after="0"/>
      <w:outlineLvl w:val="6"/>
    </w:pPr>
    <w:rPr>
      <w:rFonts w:asciiTheme="majorHAnsi" w:eastAsiaTheme="majorEastAsia" w:hAnsiTheme="majorHAnsi" w:cstheme="majorBidi"/>
      <w:i/>
      <w:iCs/>
      <w:color w:val="6F654B" w:themeColor="text1" w:themeTint="BF"/>
    </w:rPr>
  </w:style>
  <w:style w:type="paragraph" w:styleId="Heading8">
    <w:name w:val="heading 8"/>
    <w:basedOn w:val="Normal"/>
    <w:next w:val="Normal"/>
    <w:link w:val="Heading8Char"/>
    <w:uiPriority w:val="9"/>
    <w:semiHidden/>
    <w:unhideWhenUsed/>
    <w:qFormat/>
    <w:rsid w:val="00B74F54"/>
    <w:pPr>
      <w:keepNext/>
      <w:keepLines/>
      <w:numPr>
        <w:ilvl w:val="7"/>
        <w:numId w:val="2"/>
      </w:numPr>
      <w:spacing w:before="200" w:after="0"/>
      <w:outlineLvl w:val="7"/>
    </w:pPr>
    <w:rPr>
      <w:rFonts w:asciiTheme="majorHAnsi" w:eastAsiaTheme="majorEastAsia" w:hAnsiTheme="majorHAnsi" w:cstheme="majorBidi"/>
      <w:color w:val="6F654B" w:themeColor="text1" w:themeTint="BF"/>
      <w:szCs w:val="20"/>
    </w:rPr>
  </w:style>
  <w:style w:type="paragraph" w:styleId="Heading9">
    <w:name w:val="heading 9"/>
    <w:basedOn w:val="Normal"/>
    <w:next w:val="Normal"/>
    <w:link w:val="Heading9Char"/>
    <w:uiPriority w:val="9"/>
    <w:semiHidden/>
    <w:unhideWhenUsed/>
    <w:qFormat/>
    <w:rsid w:val="00B74F54"/>
    <w:pPr>
      <w:keepNext/>
      <w:keepLines/>
      <w:numPr>
        <w:ilvl w:val="8"/>
        <w:numId w:val="2"/>
      </w:numPr>
      <w:spacing w:before="200" w:after="0"/>
      <w:outlineLvl w:val="8"/>
    </w:pPr>
    <w:rPr>
      <w:rFonts w:asciiTheme="majorHAnsi" w:eastAsiaTheme="majorEastAsia" w:hAnsiTheme="majorHAnsi" w:cstheme="majorBidi"/>
      <w:i/>
      <w:iCs/>
      <w:color w:val="6F654B"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OAofficesubtitlesCoverstyles">
    <w:name w:val="IFOA office sub titles (Cover styles)"/>
    <w:basedOn w:val="Normal"/>
    <w:link w:val="IFOAofficesubtitlesCoverstylesChar"/>
    <w:uiPriority w:val="99"/>
    <w:rsid w:val="00404DA5"/>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404DA5"/>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404DA5"/>
    <w:rPr>
      <w:rFonts w:ascii="Gotham Bold" w:hAnsi="Gotham Bold" w:cs="Gotham Bold"/>
      <w:b/>
      <w:bCs/>
      <w:color w:val="FFFFFF"/>
      <w:sz w:val="19"/>
      <w:szCs w:val="19"/>
    </w:rPr>
  </w:style>
  <w:style w:type="character" w:customStyle="1" w:styleId="IFOAaddresscontactdetailsCoverstylesChar">
    <w:name w:val="IFOA address &amp; contact details (Cover styles) Char"/>
    <w:basedOn w:val="DefaultParagraphFont"/>
    <w:link w:val="IFOAaddresscontactdetailsCoverstyles"/>
    <w:uiPriority w:val="99"/>
    <w:rsid w:val="00404DA5"/>
    <w:rPr>
      <w:rFonts w:ascii="Gotham Narrow Book" w:hAnsi="Gotham Narrow Book" w:cs="Gotham Narrow Book"/>
      <w:color w:val="FFFFFF"/>
      <w:sz w:val="17"/>
      <w:szCs w:val="17"/>
    </w:rPr>
  </w:style>
  <w:style w:type="paragraph" w:customStyle="1" w:styleId="CityName">
    <w:name w:val="City Name"/>
    <w:basedOn w:val="Normal"/>
    <w:link w:val="CityNameChar"/>
    <w:qFormat/>
    <w:rsid w:val="00404DA5"/>
    <w:pPr>
      <w:framePr w:hSpace="180" w:wrap="around" w:vAnchor="page" w:hAnchor="margin" w:x="398" w:y="3320"/>
      <w:autoSpaceDE w:val="0"/>
      <w:autoSpaceDN w:val="0"/>
      <w:adjustRightInd w:val="0"/>
      <w:spacing w:before="113" w:after="57" w:line="250" w:lineRule="atLeast"/>
      <w:textAlignment w:val="center"/>
    </w:pPr>
    <w:rPr>
      <w:rFonts w:cs="Arial"/>
      <w:b/>
      <w:bCs/>
      <w:color w:val="FFFFFF"/>
      <w:sz w:val="19"/>
      <w:szCs w:val="19"/>
    </w:rPr>
  </w:style>
  <w:style w:type="paragraph" w:customStyle="1" w:styleId="CityAddress">
    <w:name w:val="City Address"/>
    <w:basedOn w:val="Normal"/>
    <w:link w:val="CityAddressChar"/>
    <w:qFormat/>
    <w:rsid w:val="00404DA5"/>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cs="Arial"/>
      <w:color w:val="FFFFFF"/>
      <w:sz w:val="17"/>
      <w:szCs w:val="17"/>
    </w:rPr>
  </w:style>
  <w:style w:type="character" w:customStyle="1" w:styleId="CityNameChar">
    <w:name w:val="City Name Char"/>
    <w:basedOn w:val="DefaultParagraphFont"/>
    <w:link w:val="CityName"/>
    <w:rsid w:val="00404DA5"/>
    <w:rPr>
      <w:rFonts w:ascii="Arial" w:hAnsi="Arial" w:cs="Arial"/>
      <w:b/>
      <w:bCs/>
      <w:color w:val="FFFFFF"/>
      <w:sz w:val="19"/>
      <w:szCs w:val="19"/>
    </w:rPr>
  </w:style>
  <w:style w:type="character" w:customStyle="1" w:styleId="CityAddressChar">
    <w:name w:val="City Address Char"/>
    <w:basedOn w:val="DefaultParagraphFont"/>
    <w:link w:val="CityAddress"/>
    <w:rsid w:val="00404DA5"/>
    <w:rPr>
      <w:rFonts w:ascii="Arial" w:hAnsi="Arial" w:cs="Arial"/>
      <w:color w:val="FFFFFF"/>
      <w:sz w:val="17"/>
      <w:szCs w:val="17"/>
    </w:rPr>
  </w:style>
  <w:style w:type="paragraph" w:customStyle="1" w:styleId="backcoverbodycopy">
    <w:name w:val="back cover bodycopy"/>
    <w:basedOn w:val="Normal"/>
    <w:link w:val="backcoverbodycopyChar"/>
    <w:qFormat/>
    <w:rsid w:val="00404DA5"/>
    <w:pPr>
      <w:framePr w:hSpace="180" w:wrap="around" w:vAnchor="page" w:hAnchor="margin" w:x="398" w:y="3320"/>
      <w:spacing w:after="0" w:line="250" w:lineRule="exact"/>
    </w:pPr>
    <w:rPr>
      <w:rFonts w:cs="Arial"/>
      <w:color w:val="FFFFFF" w:themeColor="background1"/>
      <w:szCs w:val="20"/>
    </w:rPr>
  </w:style>
  <w:style w:type="character" w:customStyle="1" w:styleId="backcoverbodycopyChar">
    <w:name w:val="back cover bodycopy Char"/>
    <w:basedOn w:val="DefaultParagraphFont"/>
    <w:link w:val="backcoverbodycopy"/>
    <w:rsid w:val="00404DA5"/>
    <w:rPr>
      <w:rFonts w:ascii="Arial" w:hAnsi="Arial" w:cs="Arial"/>
      <w:color w:val="FFFFFF" w:themeColor="background1"/>
      <w:sz w:val="20"/>
      <w:szCs w:val="20"/>
    </w:rPr>
  </w:style>
  <w:style w:type="character" w:styleId="Hyperlink">
    <w:name w:val="Hyperlink"/>
    <w:basedOn w:val="DefaultParagraphFont"/>
    <w:uiPriority w:val="99"/>
    <w:unhideWhenUsed/>
    <w:rsid w:val="00404DA5"/>
    <w:rPr>
      <w:color w:val="D25814" w:themeColor="hyperlink"/>
      <w:u w:val="single"/>
    </w:rPr>
  </w:style>
  <w:style w:type="paragraph" w:customStyle="1" w:styleId="Webaddress">
    <w:name w:val="Web address"/>
    <w:basedOn w:val="Normal"/>
    <w:link w:val="WebaddressChar"/>
    <w:qFormat/>
    <w:rsid w:val="00404DA5"/>
    <w:pPr>
      <w:suppressAutoHyphens/>
      <w:autoSpaceDE w:val="0"/>
      <w:autoSpaceDN w:val="0"/>
      <w:adjustRightInd w:val="0"/>
      <w:spacing w:after="0" w:line="170" w:lineRule="atLeast"/>
      <w:textAlignment w:val="center"/>
    </w:pPr>
    <w:rPr>
      <w:rFonts w:cs="Arial"/>
      <w:color w:val="FFFFFF"/>
      <w:sz w:val="36"/>
      <w:szCs w:val="36"/>
    </w:rPr>
  </w:style>
  <w:style w:type="character" w:customStyle="1" w:styleId="WebaddressChar">
    <w:name w:val="Web address Char"/>
    <w:basedOn w:val="DefaultParagraphFont"/>
    <w:link w:val="Webaddress"/>
    <w:rsid w:val="00404DA5"/>
    <w:rPr>
      <w:rFonts w:ascii="Arial" w:hAnsi="Arial" w:cs="Arial"/>
      <w:color w:val="FFFFFF"/>
      <w:sz w:val="36"/>
      <w:szCs w:val="36"/>
    </w:rPr>
  </w:style>
  <w:style w:type="paragraph" w:styleId="ListParagraph">
    <w:name w:val="List Paragraph"/>
    <w:basedOn w:val="Normal"/>
    <w:link w:val="ListParagraphChar"/>
    <w:uiPriority w:val="34"/>
    <w:qFormat/>
    <w:rsid w:val="003D4628"/>
    <w:pPr>
      <w:spacing w:after="0" w:line="280" w:lineRule="atLeast"/>
      <w:ind w:left="720"/>
      <w:contextualSpacing/>
    </w:pPr>
    <w:rPr>
      <w:rFonts w:eastAsiaTheme="minorEastAsia"/>
      <w:lang w:eastAsia="en-GB"/>
    </w:rPr>
  </w:style>
  <w:style w:type="character" w:styleId="CommentReference">
    <w:name w:val="annotation reference"/>
    <w:uiPriority w:val="99"/>
    <w:rsid w:val="003D4628"/>
    <w:rPr>
      <w:sz w:val="16"/>
      <w:szCs w:val="16"/>
    </w:rPr>
  </w:style>
  <w:style w:type="paragraph" w:styleId="CommentText">
    <w:name w:val="annotation text"/>
    <w:basedOn w:val="Normal"/>
    <w:link w:val="CommentTextChar"/>
    <w:uiPriority w:val="99"/>
    <w:rsid w:val="003D4628"/>
    <w:pPr>
      <w:spacing w:after="0" w:line="240" w:lineRule="auto"/>
    </w:pPr>
    <w:rPr>
      <w:rFonts w:ascii="Times New Roman" w:eastAsia="Times New Roman" w:hAnsi="Times New Roman" w:cs="Times New Roman"/>
      <w:szCs w:val="20"/>
      <w:lang w:eastAsia="en-GB"/>
    </w:rPr>
  </w:style>
  <w:style w:type="character" w:customStyle="1" w:styleId="CommentTextChar">
    <w:name w:val="Comment Text Char"/>
    <w:basedOn w:val="DefaultParagraphFont"/>
    <w:link w:val="CommentText"/>
    <w:uiPriority w:val="99"/>
    <w:rsid w:val="003D4628"/>
    <w:rPr>
      <w:rFonts w:ascii="Times New Roman" w:eastAsia="Times New Roman" w:hAnsi="Times New Roman" w:cs="Times New Roman"/>
      <w:sz w:val="20"/>
      <w:szCs w:val="20"/>
      <w:lang w:eastAsia="en-GB"/>
    </w:rPr>
  </w:style>
  <w:style w:type="paragraph" w:styleId="PlainText">
    <w:name w:val="Plain Text"/>
    <w:link w:val="PlainTextChar"/>
    <w:uiPriority w:val="99"/>
    <w:rsid w:val="008B58F0"/>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val="en-US" w:eastAsia="en-GB"/>
    </w:rPr>
  </w:style>
  <w:style w:type="character" w:customStyle="1" w:styleId="PlainTextChar">
    <w:name w:val="Plain Text Char"/>
    <w:basedOn w:val="DefaultParagraphFont"/>
    <w:link w:val="PlainText"/>
    <w:uiPriority w:val="99"/>
    <w:rsid w:val="008B58F0"/>
    <w:rPr>
      <w:rFonts w:ascii="Consolas" w:eastAsia="Consolas" w:hAnsi="Consolas" w:cs="Consolas"/>
      <w:color w:val="000000"/>
      <w:sz w:val="21"/>
      <w:szCs w:val="21"/>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39653C"/>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9653C"/>
    <w:rPr>
      <w:rFonts w:ascii="Times New Roman" w:eastAsia="Times New Roman" w:hAnsi="Times New Roman" w:cs="Times New Roman"/>
      <w:b/>
      <w:bCs/>
      <w:sz w:val="20"/>
      <w:szCs w:val="20"/>
      <w:lang w:eastAsia="en-GB"/>
    </w:rPr>
  </w:style>
  <w:style w:type="paragraph" w:customStyle="1" w:styleId="Default">
    <w:name w:val="Default"/>
    <w:rsid w:val="00E43C5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74F54"/>
    <w:rPr>
      <w:rFonts w:ascii="Arial" w:eastAsia="Times New Roman" w:hAnsi="Arial" w:cs="Times New Roman"/>
      <w:b/>
      <w:color w:val="2F2B20" w:themeColor="text1"/>
      <w:kern w:val="28"/>
      <w:sz w:val="20"/>
      <w:szCs w:val="20"/>
    </w:rPr>
  </w:style>
  <w:style w:type="character" w:customStyle="1" w:styleId="Heading2Char">
    <w:name w:val="Heading 2 Char"/>
    <w:basedOn w:val="DefaultParagraphFont"/>
    <w:link w:val="Heading2"/>
    <w:rsid w:val="00D937FC"/>
    <w:rPr>
      <w:rFonts w:ascii="Arial" w:eastAsiaTheme="minorEastAsia" w:hAnsi="Arial" w:cs="Times New Roman"/>
      <w:b/>
      <w:iCs/>
      <w:sz w:val="20"/>
      <w:szCs w:val="20"/>
    </w:rPr>
  </w:style>
  <w:style w:type="paragraph" w:customStyle="1" w:styleId="BodyTextGrey">
    <w:name w:val="Body Text Grey"/>
    <w:basedOn w:val="Normal"/>
    <w:qFormat/>
    <w:rsid w:val="00FF3968"/>
    <w:pPr>
      <w:spacing w:line="280" w:lineRule="atLeast"/>
    </w:pPr>
    <w:rPr>
      <w:rFonts w:eastAsia="Times New Roman" w:cs="Arial"/>
      <w:iCs/>
      <w:color w:val="4B4B4B"/>
      <w:szCs w:val="20"/>
    </w:rPr>
  </w:style>
  <w:style w:type="numbering" w:customStyle="1" w:styleId="HRBullet">
    <w:name w:val="HR Bullet"/>
    <w:uiPriority w:val="99"/>
    <w:rsid w:val="00FF3968"/>
    <w:pPr>
      <w:numPr>
        <w:numId w:val="1"/>
      </w:numPr>
    </w:pPr>
  </w:style>
  <w:style w:type="paragraph" w:customStyle="1" w:styleId="BulletHymans">
    <w:name w:val="Bullet Hymans"/>
    <w:uiPriority w:val="2"/>
    <w:qFormat/>
    <w:rsid w:val="00FF3968"/>
    <w:pPr>
      <w:numPr>
        <w:numId w:val="1"/>
      </w:numPr>
      <w:spacing w:after="140" w:line="280" w:lineRule="exact"/>
    </w:pPr>
    <w:rPr>
      <w:rFonts w:ascii="Arial" w:eastAsia="Times New Roman" w:hAnsi="Arial" w:cs="Arial"/>
      <w:iCs/>
      <w:color w:val="4B4B4B"/>
      <w:sz w:val="20"/>
      <w:szCs w:val="20"/>
    </w:rPr>
  </w:style>
  <w:style w:type="character" w:customStyle="1" w:styleId="ListParagraphChar">
    <w:name w:val="List Paragraph Char"/>
    <w:basedOn w:val="DefaultParagraphFont"/>
    <w:link w:val="ListParagraph"/>
    <w:uiPriority w:val="34"/>
    <w:locked/>
    <w:rsid w:val="00FF3968"/>
    <w:rPr>
      <w:rFonts w:ascii="Arial" w:eastAsiaTheme="minorEastAsia" w:hAnsi="Arial"/>
      <w:sz w:val="20"/>
      <w:lang w:eastAsia="en-GB"/>
    </w:rPr>
  </w:style>
  <w:style w:type="character" w:customStyle="1" w:styleId="Heading3Char">
    <w:name w:val="Heading 3 Char"/>
    <w:basedOn w:val="DefaultParagraphFont"/>
    <w:link w:val="Heading3"/>
    <w:uiPriority w:val="9"/>
    <w:rsid w:val="005E2A64"/>
    <w:rPr>
      <w:rFonts w:ascii="Arial" w:eastAsiaTheme="majorEastAsia" w:hAnsi="Arial" w:cstheme="majorBidi"/>
      <w:b/>
      <w:bCs/>
      <w:i/>
      <w:sz w:val="20"/>
    </w:rPr>
  </w:style>
  <w:style w:type="character" w:customStyle="1" w:styleId="Heading4Char">
    <w:name w:val="Heading 4 Char"/>
    <w:basedOn w:val="DefaultParagraphFont"/>
    <w:link w:val="Heading4"/>
    <w:uiPriority w:val="9"/>
    <w:rsid w:val="00573950"/>
    <w:rPr>
      <w:rFonts w:ascii="Arial" w:eastAsiaTheme="majorEastAsia" w:hAnsi="Arial" w:cstheme="majorBidi"/>
      <w:b/>
      <w:bCs/>
      <w:i/>
      <w:iCs/>
      <w:color w:val="2F2B20" w:themeColor="text1"/>
      <w:sz w:val="20"/>
    </w:rPr>
  </w:style>
  <w:style w:type="character" w:customStyle="1" w:styleId="Heading5Char">
    <w:name w:val="Heading 5 Char"/>
    <w:basedOn w:val="DefaultParagraphFont"/>
    <w:link w:val="Heading5"/>
    <w:uiPriority w:val="9"/>
    <w:semiHidden/>
    <w:rsid w:val="00B74F54"/>
    <w:rPr>
      <w:rFonts w:asciiTheme="majorHAnsi" w:eastAsiaTheme="majorEastAsia" w:hAnsiTheme="majorHAnsi" w:cstheme="majorBidi"/>
      <w:color w:val="575539" w:themeColor="accent1" w:themeShade="7F"/>
      <w:sz w:val="20"/>
    </w:rPr>
  </w:style>
  <w:style w:type="character" w:customStyle="1" w:styleId="Heading6Char">
    <w:name w:val="Heading 6 Char"/>
    <w:basedOn w:val="DefaultParagraphFont"/>
    <w:link w:val="Heading6"/>
    <w:uiPriority w:val="9"/>
    <w:semiHidden/>
    <w:rsid w:val="00B74F54"/>
    <w:rPr>
      <w:rFonts w:asciiTheme="majorHAnsi" w:eastAsiaTheme="majorEastAsia" w:hAnsiTheme="majorHAnsi" w:cstheme="majorBidi"/>
      <w:i/>
      <w:iCs/>
      <w:color w:val="575539" w:themeColor="accent1" w:themeShade="7F"/>
      <w:sz w:val="20"/>
    </w:rPr>
  </w:style>
  <w:style w:type="character" w:customStyle="1" w:styleId="Heading7Char">
    <w:name w:val="Heading 7 Char"/>
    <w:basedOn w:val="DefaultParagraphFont"/>
    <w:link w:val="Heading7"/>
    <w:uiPriority w:val="9"/>
    <w:semiHidden/>
    <w:rsid w:val="00B74F54"/>
    <w:rPr>
      <w:rFonts w:asciiTheme="majorHAnsi" w:eastAsiaTheme="majorEastAsia" w:hAnsiTheme="majorHAnsi" w:cstheme="majorBidi"/>
      <w:i/>
      <w:iCs/>
      <w:color w:val="6F654B" w:themeColor="text1" w:themeTint="BF"/>
      <w:sz w:val="20"/>
    </w:rPr>
  </w:style>
  <w:style w:type="character" w:customStyle="1" w:styleId="Heading8Char">
    <w:name w:val="Heading 8 Char"/>
    <w:basedOn w:val="DefaultParagraphFont"/>
    <w:link w:val="Heading8"/>
    <w:uiPriority w:val="9"/>
    <w:semiHidden/>
    <w:rsid w:val="00B74F54"/>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sid w:val="00B74F54"/>
    <w:rPr>
      <w:rFonts w:asciiTheme="majorHAnsi" w:eastAsiaTheme="majorEastAsia" w:hAnsiTheme="majorHAnsi" w:cstheme="majorBidi"/>
      <w:i/>
      <w:iCs/>
      <w:color w:val="6F654B" w:themeColor="text1" w:themeTint="BF"/>
      <w:sz w:val="20"/>
      <w:szCs w:val="20"/>
    </w:rPr>
  </w:style>
  <w:style w:type="character" w:styleId="PlaceholderText">
    <w:name w:val="Placeholder Text"/>
    <w:basedOn w:val="DefaultParagraphFont"/>
    <w:uiPriority w:val="99"/>
    <w:semiHidden/>
    <w:rsid w:val="00457422"/>
    <w:rPr>
      <w:color w:val="808080"/>
    </w:rPr>
  </w:style>
  <w:style w:type="paragraph" w:styleId="Revision">
    <w:name w:val="Revision"/>
    <w:hidden/>
    <w:uiPriority w:val="99"/>
    <w:semiHidden/>
    <w:rsid w:val="00F1785F"/>
    <w:pPr>
      <w:spacing w:after="0" w:line="240" w:lineRule="auto"/>
    </w:pPr>
    <w:rPr>
      <w:rFonts w:ascii="Arial" w:hAnsi="Arial"/>
      <w:sz w:val="20"/>
    </w:rPr>
  </w:style>
  <w:style w:type="paragraph" w:styleId="NormalWeb">
    <w:name w:val="Normal (Web)"/>
    <w:basedOn w:val="Normal"/>
    <w:uiPriority w:val="99"/>
    <w:semiHidden/>
    <w:unhideWhenUsed/>
    <w:rsid w:val="003532B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A4543A"/>
    <w:rPr>
      <w:i/>
      <w:iCs/>
    </w:rPr>
  </w:style>
  <w:style w:type="paragraph" w:styleId="FootnoteText">
    <w:name w:val="footnote text"/>
    <w:basedOn w:val="Normal"/>
    <w:link w:val="FootnoteTextChar"/>
    <w:uiPriority w:val="99"/>
    <w:semiHidden/>
    <w:unhideWhenUsed/>
    <w:rsid w:val="00B80F67"/>
    <w:pPr>
      <w:spacing w:after="0" w:line="240" w:lineRule="auto"/>
    </w:pPr>
    <w:rPr>
      <w:szCs w:val="20"/>
    </w:rPr>
  </w:style>
  <w:style w:type="character" w:customStyle="1" w:styleId="FootnoteTextChar">
    <w:name w:val="Footnote Text Char"/>
    <w:basedOn w:val="DefaultParagraphFont"/>
    <w:link w:val="FootnoteText"/>
    <w:uiPriority w:val="99"/>
    <w:semiHidden/>
    <w:rsid w:val="00B80F67"/>
    <w:rPr>
      <w:rFonts w:ascii="Arial" w:hAnsi="Arial"/>
      <w:sz w:val="20"/>
      <w:szCs w:val="20"/>
    </w:rPr>
  </w:style>
  <w:style w:type="character" w:styleId="FootnoteReference">
    <w:name w:val="footnote reference"/>
    <w:basedOn w:val="DefaultParagraphFont"/>
    <w:uiPriority w:val="99"/>
    <w:semiHidden/>
    <w:unhideWhenUsed/>
    <w:rsid w:val="00B80F67"/>
    <w:rPr>
      <w:vertAlign w:val="superscript"/>
    </w:rPr>
  </w:style>
  <w:style w:type="table" w:styleId="LightShading-Accent6">
    <w:name w:val="Light Shading Accent 6"/>
    <w:basedOn w:val="TableNormal"/>
    <w:uiPriority w:val="60"/>
    <w:rsid w:val="00665F5D"/>
    <w:pPr>
      <w:spacing w:after="0" w:line="240" w:lineRule="auto"/>
    </w:pPr>
    <w:rPr>
      <w:color w:val="8D785D" w:themeColor="accent6" w:themeShade="BF"/>
    </w:rPr>
    <w:tblPr>
      <w:tblStyleRowBandSize w:val="1"/>
      <w:tblStyleColBandSize w:val="1"/>
      <w:tblBorders>
        <w:top w:val="single" w:sz="8" w:space="0" w:color="B1A089" w:themeColor="accent6"/>
        <w:bottom w:val="single" w:sz="8" w:space="0" w:color="B1A089" w:themeColor="accent6"/>
      </w:tblBorders>
    </w:tblPr>
    <w:tblStylePr w:type="firstRow">
      <w:pPr>
        <w:spacing w:before="0" w:after="0" w:line="240" w:lineRule="auto"/>
      </w:pPr>
      <w:rPr>
        <w:b/>
        <w:bCs/>
      </w:rPr>
      <w:tblPr/>
      <w:tcPr>
        <w:tcBorders>
          <w:top w:val="single" w:sz="8" w:space="0" w:color="B1A089" w:themeColor="accent6"/>
          <w:left w:val="nil"/>
          <w:bottom w:val="single" w:sz="8" w:space="0" w:color="B1A089" w:themeColor="accent6"/>
          <w:right w:val="nil"/>
          <w:insideH w:val="nil"/>
          <w:insideV w:val="nil"/>
        </w:tcBorders>
      </w:tcPr>
    </w:tblStylePr>
    <w:tblStylePr w:type="lastRow">
      <w:pPr>
        <w:spacing w:before="0" w:after="0" w:line="240" w:lineRule="auto"/>
      </w:pPr>
      <w:rPr>
        <w:b/>
        <w:bCs/>
      </w:rPr>
      <w:tblPr/>
      <w:tcPr>
        <w:tcBorders>
          <w:top w:val="single" w:sz="8" w:space="0" w:color="B1A089" w:themeColor="accent6"/>
          <w:left w:val="nil"/>
          <w:bottom w:val="single" w:sz="8" w:space="0" w:color="B1A08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7E1" w:themeFill="accent6" w:themeFillTint="3F"/>
      </w:tcPr>
    </w:tblStylePr>
    <w:tblStylePr w:type="band1Horz">
      <w:tblPr/>
      <w:tcPr>
        <w:tcBorders>
          <w:left w:val="nil"/>
          <w:right w:val="nil"/>
          <w:insideH w:val="nil"/>
          <w:insideV w:val="nil"/>
        </w:tcBorders>
        <w:shd w:val="clear" w:color="auto" w:fill="EBE7E1" w:themeFill="accent6" w:themeFillTint="3F"/>
      </w:tcPr>
    </w:tblStylePr>
  </w:style>
  <w:style w:type="table" w:styleId="MediumShading1-Accent6">
    <w:name w:val="Medium Shading 1 Accent 6"/>
    <w:basedOn w:val="TableNormal"/>
    <w:uiPriority w:val="63"/>
    <w:rsid w:val="00665F5D"/>
    <w:pPr>
      <w:spacing w:after="0" w:line="240" w:lineRule="auto"/>
    </w:pPr>
    <w:tblPr>
      <w:tblStyleRowBandSize w:val="1"/>
      <w:tblStyleColBandSize w:val="1"/>
      <w:tblBorders>
        <w:top w:val="single" w:sz="8"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single" w:sz="8" w:space="0" w:color="C4B7A6" w:themeColor="accent6" w:themeTint="BF"/>
      </w:tblBorders>
    </w:tblPr>
    <w:tblStylePr w:type="firstRow">
      <w:pPr>
        <w:spacing w:before="0" w:after="0" w:line="240" w:lineRule="auto"/>
      </w:pPr>
      <w:rPr>
        <w:b/>
        <w:bCs/>
        <w:color w:val="FFFFFF" w:themeColor="background1"/>
      </w:rPr>
      <w:tblPr/>
      <w:tcPr>
        <w:tcBorders>
          <w:top w:val="single" w:sz="8"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nil"/>
          <w:insideV w:val="nil"/>
        </w:tcBorders>
        <w:shd w:val="clear" w:color="auto" w:fill="B1A089" w:themeFill="accent6"/>
      </w:tcPr>
    </w:tblStylePr>
    <w:tblStylePr w:type="lastRow">
      <w:pPr>
        <w:spacing w:before="0" w:after="0" w:line="240" w:lineRule="auto"/>
      </w:pPr>
      <w:rPr>
        <w:b/>
        <w:bCs/>
      </w:rPr>
      <w:tblPr/>
      <w:tcPr>
        <w:tcBorders>
          <w:top w:val="double" w:sz="6" w:space="0" w:color="C4B7A6" w:themeColor="accent6" w:themeTint="BF"/>
          <w:left w:val="single" w:sz="8" w:space="0" w:color="C4B7A6" w:themeColor="accent6" w:themeTint="BF"/>
          <w:bottom w:val="single" w:sz="8" w:space="0" w:color="C4B7A6" w:themeColor="accent6" w:themeTint="BF"/>
          <w:right w:val="single" w:sz="8" w:space="0" w:color="C4B7A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7E1" w:themeFill="accent6" w:themeFillTint="3F"/>
      </w:tcPr>
    </w:tblStylePr>
    <w:tblStylePr w:type="band1Horz">
      <w:tblPr/>
      <w:tcPr>
        <w:tcBorders>
          <w:insideH w:val="nil"/>
          <w:insideV w:val="nil"/>
        </w:tcBorders>
        <w:shd w:val="clear" w:color="auto" w:fill="EBE7E1" w:themeFill="accent6" w:themeFillTint="3F"/>
      </w:tcPr>
    </w:tblStylePr>
    <w:tblStylePr w:type="band2Horz">
      <w:tblPr/>
      <w:tcPr>
        <w:tcBorders>
          <w:insideH w:val="nil"/>
          <w:insideV w:val="nil"/>
        </w:tcBorders>
      </w:tcPr>
    </w:tblStylePr>
  </w:style>
  <w:style w:type="paragraph" w:styleId="ListBullet">
    <w:name w:val="List Bullet"/>
    <w:basedOn w:val="Normal"/>
    <w:link w:val="ListBulletChar"/>
    <w:uiPriority w:val="99"/>
    <w:unhideWhenUsed/>
    <w:qFormat/>
    <w:rsid w:val="00334761"/>
    <w:pPr>
      <w:numPr>
        <w:numId w:val="3"/>
      </w:numPr>
      <w:spacing w:before="120" w:after="120" w:line="240" w:lineRule="auto"/>
    </w:pPr>
    <w:rPr>
      <w:rFonts w:eastAsia="Calibri" w:cs="Times New Roman"/>
    </w:rPr>
  </w:style>
  <w:style w:type="character" w:customStyle="1" w:styleId="ListBulletChar">
    <w:name w:val="List Bullet Char"/>
    <w:link w:val="ListBullet"/>
    <w:uiPriority w:val="99"/>
    <w:locked/>
    <w:rsid w:val="00334761"/>
    <w:rPr>
      <w:rFonts w:ascii="Arial" w:eastAsia="Calibri" w:hAnsi="Arial" w:cs="Times New Roman"/>
      <w:sz w:val="20"/>
    </w:rPr>
  </w:style>
  <w:style w:type="paragraph" w:customStyle="1" w:styleId="Heading3Modified">
    <w:name w:val="Heading 3 Modified"/>
    <w:basedOn w:val="Heading2"/>
    <w:link w:val="Heading3ModifiedChar"/>
    <w:qFormat/>
    <w:rsid w:val="005E2A64"/>
    <w:pPr>
      <w:numPr>
        <w:ilvl w:val="2"/>
      </w:numPr>
    </w:pPr>
  </w:style>
  <w:style w:type="character" w:customStyle="1" w:styleId="Heading3ModifiedChar">
    <w:name w:val="Heading 3 Modified Char"/>
    <w:basedOn w:val="Heading2Char"/>
    <w:link w:val="Heading3Modified"/>
    <w:rsid w:val="005E2A64"/>
    <w:rPr>
      <w:rFonts w:ascii="Arial" w:eastAsiaTheme="minorEastAsia" w:hAnsi="Arial" w:cs="Times New Roman"/>
      <w:b/>
      <w:iCs/>
      <w:sz w:val="20"/>
      <w:szCs w:val="20"/>
    </w:rPr>
  </w:style>
  <w:style w:type="character" w:styleId="FollowedHyperlink">
    <w:name w:val="FollowedHyperlink"/>
    <w:basedOn w:val="DefaultParagraphFont"/>
    <w:uiPriority w:val="99"/>
    <w:semiHidden/>
    <w:unhideWhenUsed/>
    <w:rsid w:val="002D4083"/>
    <w:rPr>
      <w:color w:val="849A0A" w:themeColor="followedHyperlink"/>
      <w:u w:val="single"/>
    </w:rPr>
  </w:style>
  <w:style w:type="character" w:customStyle="1" w:styleId="tgc">
    <w:name w:val="_tgc"/>
    <w:basedOn w:val="DefaultParagraphFont"/>
    <w:rsid w:val="004F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1576">
      <w:bodyDiv w:val="1"/>
      <w:marLeft w:val="0"/>
      <w:marRight w:val="0"/>
      <w:marTop w:val="0"/>
      <w:marBottom w:val="0"/>
      <w:divBdr>
        <w:top w:val="none" w:sz="0" w:space="0" w:color="auto"/>
        <w:left w:val="none" w:sz="0" w:space="0" w:color="auto"/>
        <w:bottom w:val="none" w:sz="0" w:space="0" w:color="auto"/>
        <w:right w:val="none" w:sz="0" w:space="0" w:color="auto"/>
      </w:divBdr>
      <w:divsChild>
        <w:div w:id="990866590">
          <w:marLeft w:val="446"/>
          <w:marRight w:val="0"/>
          <w:marTop w:val="0"/>
          <w:marBottom w:val="0"/>
          <w:divBdr>
            <w:top w:val="none" w:sz="0" w:space="0" w:color="auto"/>
            <w:left w:val="none" w:sz="0" w:space="0" w:color="auto"/>
            <w:bottom w:val="none" w:sz="0" w:space="0" w:color="auto"/>
            <w:right w:val="none" w:sz="0" w:space="0" w:color="auto"/>
          </w:divBdr>
        </w:div>
      </w:divsChild>
    </w:div>
    <w:div w:id="114639123">
      <w:bodyDiv w:val="1"/>
      <w:marLeft w:val="0"/>
      <w:marRight w:val="0"/>
      <w:marTop w:val="0"/>
      <w:marBottom w:val="0"/>
      <w:divBdr>
        <w:top w:val="none" w:sz="0" w:space="0" w:color="auto"/>
        <w:left w:val="none" w:sz="0" w:space="0" w:color="auto"/>
        <w:bottom w:val="none" w:sz="0" w:space="0" w:color="auto"/>
        <w:right w:val="none" w:sz="0" w:space="0" w:color="auto"/>
      </w:divBdr>
      <w:divsChild>
        <w:div w:id="1376739051">
          <w:marLeft w:val="720"/>
          <w:marRight w:val="0"/>
          <w:marTop w:val="240"/>
          <w:marBottom w:val="0"/>
          <w:divBdr>
            <w:top w:val="none" w:sz="0" w:space="0" w:color="auto"/>
            <w:left w:val="none" w:sz="0" w:space="0" w:color="auto"/>
            <w:bottom w:val="none" w:sz="0" w:space="0" w:color="auto"/>
            <w:right w:val="none" w:sz="0" w:space="0" w:color="auto"/>
          </w:divBdr>
        </w:div>
      </w:divsChild>
    </w:div>
    <w:div w:id="141166732">
      <w:bodyDiv w:val="1"/>
      <w:marLeft w:val="0"/>
      <w:marRight w:val="0"/>
      <w:marTop w:val="0"/>
      <w:marBottom w:val="0"/>
      <w:divBdr>
        <w:top w:val="none" w:sz="0" w:space="0" w:color="auto"/>
        <w:left w:val="none" w:sz="0" w:space="0" w:color="auto"/>
        <w:bottom w:val="none" w:sz="0" w:space="0" w:color="auto"/>
        <w:right w:val="none" w:sz="0" w:space="0" w:color="auto"/>
      </w:divBdr>
      <w:divsChild>
        <w:div w:id="2079546578">
          <w:marLeft w:val="432"/>
          <w:marRight w:val="0"/>
          <w:marTop w:val="240"/>
          <w:marBottom w:val="0"/>
          <w:divBdr>
            <w:top w:val="none" w:sz="0" w:space="0" w:color="auto"/>
            <w:left w:val="none" w:sz="0" w:space="0" w:color="auto"/>
            <w:bottom w:val="none" w:sz="0" w:space="0" w:color="auto"/>
            <w:right w:val="none" w:sz="0" w:space="0" w:color="auto"/>
          </w:divBdr>
        </w:div>
      </w:divsChild>
    </w:div>
    <w:div w:id="188640512">
      <w:bodyDiv w:val="1"/>
      <w:marLeft w:val="0"/>
      <w:marRight w:val="0"/>
      <w:marTop w:val="0"/>
      <w:marBottom w:val="0"/>
      <w:divBdr>
        <w:top w:val="none" w:sz="0" w:space="0" w:color="auto"/>
        <w:left w:val="none" w:sz="0" w:space="0" w:color="auto"/>
        <w:bottom w:val="none" w:sz="0" w:space="0" w:color="auto"/>
        <w:right w:val="none" w:sz="0" w:space="0" w:color="auto"/>
      </w:divBdr>
    </w:div>
    <w:div w:id="245654686">
      <w:bodyDiv w:val="1"/>
      <w:marLeft w:val="0"/>
      <w:marRight w:val="0"/>
      <w:marTop w:val="0"/>
      <w:marBottom w:val="0"/>
      <w:divBdr>
        <w:top w:val="none" w:sz="0" w:space="0" w:color="auto"/>
        <w:left w:val="none" w:sz="0" w:space="0" w:color="auto"/>
        <w:bottom w:val="none" w:sz="0" w:space="0" w:color="auto"/>
        <w:right w:val="none" w:sz="0" w:space="0" w:color="auto"/>
      </w:divBdr>
    </w:div>
    <w:div w:id="264076224">
      <w:bodyDiv w:val="1"/>
      <w:marLeft w:val="0"/>
      <w:marRight w:val="0"/>
      <w:marTop w:val="0"/>
      <w:marBottom w:val="0"/>
      <w:divBdr>
        <w:top w:val="none" w:sz="0" w:space="0" w:color="auto"/>
        <w:left w:val="none" w:sz="0" w:space="0" w:color="auto"/>
        <w:bottom w:val="none" w:sz="0" w:space="0" w:color="auto"/>
        <w:right w:val="none" w:sz="0" w:space="0" w:color="auto"/>
      </w:divBdr>
      <w:divsChild>
        <w:div w:id="469589925">
          <w:marLeft w:val="446"/>
          <w:marRight w:val="0"/>
          <w:marTop w:val="120"/>
          <w:marBottom w:val="0"/>
          <w:divBdr>
            <w:top w:val="none" w:sz="0" w:space="0" w:color="auto"/>
            <w:left w:val="none" w:sz="0" w:space="0" w:color="auto"/>
            <w:bottom w:val="none" w:sz="0" w:space="0" w:color="auto"/>
            <w:right w:val="none" w:sz="0" w:space="0" w:color="auto"/>
          </w:divBdr>
        </w:div>
        <w:div w:id="1826970654">
          <w:marLeft w:val="446"/>
          <w:marRight w:val="0"/>
          <w:marTop w:val="120"/>
          <w:marBottom w:val="0"/>
          <w:divBdr>
            <w:top w:val="none" w:sz="0" w:space="0" w:color="auto"/>
            <w:left w:val="none" w:sz="0" w:space="0" w:color="auto"/>
            <w:bottom w:val="none" w:sz="0" w:space="0" w:color="auto"/>
            <w:right w:val="none" w:sz="0" w:space="0" w:color="auto"/>
          </w:divBdr>
        </w:div>
      </w:divsChild>
    </w:div>
    <w:div w:id="270553068">
      <w:bodyDiv w:val="1"/>
      <w:marLeft w:val="0"/>
      <w:marRight w:val="0"/>
      <w:marTop w:val="0"/>
      <w:marBottom w:val="0"/>
      <w:divBdr>
        <w:top w:val="none" w:sz="0" w:space="0" w:color="auto"/>
        <w:left w:val="none" w:sz="0" w:space="0" w:color="auto"/>
        <w:bottom w:val="none" w:sz="0" w:space="0" w:color="auto"/>
        <w:right w:val="none" w:sz="0" w:space="0" w:color="auto"/>
      </w:divBdr>
      <w:divsChild>
        <w:div w:id="2559212">
          <w:marLeft w:val="446"/>
          <w:marRight w:val="0"/>
          <w:marTop w:val="120"/>
          <w:marBottom w:val="0"/>
          <w:divBdr>
            <w:top w:val="none" w:sz="0" w:space="0" w:color="auto"/>
            <w:left w:val="none" w:sz="0" w:space="0" w:color="auto"/>
            <w:bottom w:val="none" w:sz="0" w:space="0" w:color="auto"/>
            <w:right w:val="none" w:sz="0" w:space="0" w:color="auto"/>
          </w:divBdr>
        </w:div>
        <w:div w:id="1388140252">
          <w:marLeft w:val="446"/>
          <w:marRight w:val="0"/>
          <w:marTop w:val="120"/>
          <w:marBottom w:val="0"/>
          <w:divBdr>
            <w:top w:val="none" w:sz="0" w:space="0" w:color="auto"/>
            <w:left w:val="none" w:sz="0" w:space="0" w:color="auto"/>
            <w:bottom w:val="none" w:sz="0" w:space="0" w:color="auto"/>
            <w:right w:val="none" w:sz="0" w:space="0" w:color="auto"/>
          </w:divBdr>
        </w:div>
        <w:div w:id="1551770446">
          <w:marLeft w:val="446"/>
          <w:marRight w:val="0"/>
          <w:marTop w:val="120"/>
          <w:marBottom w:val="0"/>
          <w:divBdr>
            <w:top w:val="none" w:sz="0" w:space="0" w:color="auto"/>
            <w:left w:val="none" w:sz="0" w:space="0" w:color="auto"/>
            <w:bottom w:val="none" w:sz="0" w:space="0" w:color="auto"/>
            <w:right w:val="none" w:sz="0" w:space="0" w:color="auto"/>
          </w:divBdr>
        </w:div>
        <w:div w:id="835072818">
          <w:marLeft w:val="446"/>
          <w:marRight w:val="0"/>
          <w:marTop w:val="120"/>
          <w:marBottom w:val="0"/>
          <w:divBdr>
            <w:top w:val="none" w:sz="0" w:space="0" w:color="auto"/>
            <w:left w:val="none" w:sz="0" w:space="0" w:color="auto"/>
            <w:bottom w:val="none" w:sz="0" w:space="0" w:color="auto"/>
            <w:right w:val="none" w:sz="0" w:space="0" w:color="auto"/>
          </w:divBdr>
        </w:div>
      </w:divsChild>
    </w:div>
    <w:div w:id="273364202">
      <w:bodyDiv w:val="1"/>
      <w:marLeft w:val="0"/>
      <w:marRight w:val="0"/>
      <w:marTop w:val="0"/>
      <w:marBottom w:val="0"/>
      <w:divBdr>
        <w:top w:val="none" w:sz="0" w:space="0" w:color="auto"/>
        <w:left w:val="none" w:sz="0" w:space="0" w:color="auto"/>
        <w:bottom w:val="none" w:sz="0" w:space="0" w:color="auto"/>
        <w:right w:val="none" w:sz="0" w:space="0" w:color="auto"/>
      </w:divBdr>
    </w:div>
    <w:div w:id="278529498">
      <w:bodyDiv w:val="1"/>
      <w:marLeft w:val="0"/>
      <w:marRight w:val="0"/>
      <w:marTop w:val="0"/>
      <w:marBottom w:val="0"/>
      <w:divBdr>
        <w:top w:val="none" w:sz="0" w:space="0" w:color="auto"/>
        <w:left w:val="none" w:sz="0" w:space="0" w:color="auto"/>
        <w:bottom w:val="none" w:sz="0" w:space="0" w:color="auto"/>
        <w:right w:val="none" w:sz="0" w:space="0" w:color="auto"/>
      </w:divBdr>
      <w:divsChild>
        <w:div w:id="1172380579">
          <w:marLeft w:val="446"/>
          <w:marRight w:val="0"/>
          <w:marTop w:val="120"/>
          <w:marBottom w:val="0"/>
          <w:divBdr>
            <w:top w:val="none" w:sz="0" w:space="0" w:color="auto"/>
            <w:left w:val="none" w:sz="0" w:space="0" w:color="auto"/>
            <w:bottom w:val="none" w:sz="0" w:space="0" w:color="auto"/>
            <w:right w:val="none" w:sz="0" w:space="0" w:color="auto"/>
          </w:divBdr>
        </w:div>
        <w:div w:id="301428691">
          <w:marLeft w:val="446"/>
          <w:marRight w:val="0"/>
          <w:marTop w:val="120"/>
          <w:marBottom w:val="0"/>
          <w:divBdr>
            <w:top w:val="none" w:sz="0" w:space="0" w:color="auto"/>
            <w:left w:val="none" w:sz="0" w:space="0" w:color="auto"/>
            <w:bottom w:val="none" w:sz="0" w:space="0" w:color="auto"/>
            <w:right w:val="none" w:sz="0" w:space="0" w:color="auto"/>
          </w:divBdr>
        </w:div>
      </w:divsChild>
    </w:div>
    <w:div w:id="282423149">
      <w:bodyDiv w:val="1"/>
      <w:marLeft w:val="0"/>
      <w:marRight w:val="0"/>
      <w:marTop w:val="0"/>
      <w:marBottom w:val="0"/>
      <w:divBdr>
        <w:top w:val="none" w:sz="0" w:space="0" w:color="auto"/>
        <w:left w:val="none" w:sz="0" w:space="0" w:color="auto"/>
        <w:bottom w:val="none" w:sz="0" w:space="0" w:color="auto"/>
        <w:right w:val="none" w:sz="0" w:space="0" w:color="auto"/>
      </w:divBdr>
    </w:div>
    <w:div w:id="336159744">
      <w:bodyDiv w:val="1"/>
      <w:marLeft w:val="0"/>
      <w:marRight w:val="0"/>
      <w:marTop w:val="0"/>
      <w:marBottom w:val="0"/>
      <w:divBdr>
        <w:top w:val="none" w:sz="0" w:space="0" w:color="auto"/>
        <w:left w:val="none" w:sz="0" w:space="0" w:color="auto"/>
        <w:bottom w:val="none" w:sz="0" w:space="0" w:color="auto"/>
        <w:right w:val="none" w:sz="0" w:space="0" w:color="auto"/>
      </w:divBdr>
      <w:divsChild>
        <w:div w:id="241525654">
          <w:marLeft w:val="720"/>
          <w:marRight w:val="0"/>
          <w:marTop w:val="228"/>
          <w:marBottom w:val="0"/>
          <w:divBdr>
            <w:top w:val="none" w:sz="0" w:space="0" w:color="auto"/>
            <w:left w:val="none" w:sz="0" w:space="0" w:color="auto"/>
            <w:bottom w:val="none" w:sz="0" w:space="0" w:color="auto"/>
            <w:right w:val="none" w:sz="0" w:space="0" w:color="auto"/>
          </w:divBdr>
        </w:div>
      </w:divsChild>
    </w:div>
    <w:div w:id="405610613">
      <w:bodyDiv w:val="1"/>
      <w:marLeft w:val="0"/>
      <w:marRight w:val="0"/>
      <w:marTop w:val="0"/>
      <w:marBottom w:val="0"/>
      <w:divBdr>
        <w:top w:val="none" w:sz="0" w:space="0" w:color="auto"/>
        <w:left w:val="none" w:sz="0" w:space="0" w:color="auto"/>
        <w:bottom w:val="none" w:sz="0" w:space="0" w:color="auto"/>
        <w:right w:val="none" w:sz="0" w:space="0" w:color="auto"/>
      </w:divBdr>
      <w:divsChild>
        <w:div w:id="830489262">
          <w:marLeft w:val="144"/>
          <w:marRight w:val="0"/>
          <w:marTop w:val="0"/>
          <w:marBottom w:val="120"/>
          <w:divBdr>
            <w:top w:val="none" w:sz="0" w:space="0" w:color="auto"/>
            <w:left w:val="none" w:sz="0" w:space="0" w:color="auto"/>
            <w:bottom w:val="none" w:sz="0" w:space="0" w:color="auto"/>
            <w:right w:val="none" w:sz="0" w:space="0" w:color="auto"/>
          </w:divBdr>
        </w:div>
      </w:divsChild>
    </w:div>
    <w:div w:id="407046074">
      <w:bodyDiv w:val="1"/>
      <w:marLeft w:val="0"/>
      <w:marRight w:val="0"/>
      <w:marTop w:val="0"/>
      <w:marBottom w:val="0"/>
      <w:divBdr>
        <w:top w:val="none" w:sz="0" w:space="0" w:color="auto"/>
        <w:left w:val="none" w:sz="0" w:space="0" w:color="auto"/>
        <w:bottom w:val="none" w:sz="0" w:space="0" w:color="auto"/>
        <w:right w:val="none" w:sz="0" w:space="0" w:color="auto"/>
      </w:divBdr>
    </w:div>
    <w:div w:id="443378988">
      <w:bodyDiv w:val="1"/>
      <w:marLeft w:val="0"/>
      <w:marRight w:val="0"/>
      <w:marTop w:val="0"/>
      <w:marBottom w:val="0"/>
      <w:divBdr>
        <w:top w:val="none" w:sz="0" w:space="0" w:color="auto"/>
        <w:left w:val="none" w:sz="0" w:space="0" w:color="auto"/>
        <w:bottom w:val="none" w:sz="0" w:space="0" w:color="auto"/>
        <w:right w:val="none" w:sz="0" w:space="0" w:color="auto"/>
      </w:divBdr>
      <w:divsChild>
        <w:div w:id="130560418">
          <w:marLeft w:val="274"/>
          <w:marRight w:val="0"/>
          <w:marTop w:val="0"/>
          <w:marBottom w:val="0"/>
          <w:divBdr>
            <w:top w:val="none" w:sz="0" w:space="0" w:color="auto"/>
            <w:left w:val="none" w:sz="0" w:space="0" w:color="auto"/>
            <w:bottom w:val="none" w:sz="0" w:space="0" w:color="auto"/>
            <w:right w:val="none" w:sz="0" w:space="0" w:color="auto"/>
          </w:divBdr>
        </w:div>
      </w:divsChild>
    </w:div>
    <w:div w:id="580605713">
      <w:bodyDiv w:val="1"/>
      <w:marLeft w:val="0"/>
      <w:marRight w:val="0"/>
      <w:marTop w:val="0"/>
      <w:marBottom w:val="0"/>
      <w:divBdr>
        <w:top w:val="none" w:sz="0" w:space="0" w:color="auto"/>
        <w:left w:val="none" w:sz="0" w:space="0" w:color="auto"/>
        <w:bottom w:val="none" w:sz="0" w:space="0" w:color="auto"/>
        <w:right w:val="none" w:sz="0" w:space="0" w:color="auto"/>
      </w:divBdr>
      <w:divsChild>
        <w:div w:id="216478967">
          <w:marLeft w:val="446"/>
          <w:marRight w:val="0"/>
          <w:marTop w:val="0"/>
          <w:marBottom w:val="0"/>
          <w:divBdr>
            <w:top w:val="none" w:sz="0" w:space="0" w:color="auto"/>
            <w:left w:val="none" w:sz="0" w:space="0" w:color="auto"/>
            <w:bottom w:val="none" w:sz="0" w:space="0" w:color="auto"/>
            <w:right w:val="none" w:sz="0" w:space="0" w:color="auto"/>
          </w:divBdr>
        </w:div>
        <w:div w:id="1026708936">
          <w:marLeft w:val="446"/>
          <w:marRight w:val="0"/>
          <w:marTop w:val="0"/>
          <w:marBottom w:val="0"/>
          <w:divBdr>
            <w:top w:val="none" w:sz="0" w:space="0" w:color="auto"/>
            <w:left w:val="none" w:sz="0" w:space="0" w:color="auto"/>
            <w:bottom w:val="none" w:sz="0" w:space="0" w:color="auto"/>
            <w:right w:val="none" w:sz="0" w:space="0" w:color="auto"/>
          </w:divBdr>
        </w:div>
        <w:div w:id="653490827">
          <w:marLeft w:val="720"/>
          <w:marRight w:val="0"/>
          <w:marTop w:val="0"/>
          <w:marBottom w:val="0"/>
          <w:divBdr>
            <w:top w:val="none" w:sz="0" w:space="0" w:color="auto"/>
            <w:left w:val="none" w:sz="0" w:space="0" w:color="auto"/>
            <w:bottom w:val="none" w:sz="0" w:space="0" w:color="auto"/>
            <w:right w:val="none" w:sz="0" w:space="0" w:color="auto"/>
          </w:divBdr>
        </w:div>
        <w:div w:id="2037148460">
          <w:marLeft w:val="720"/>
          <w:marRight w:val="0"/>
          <w:marTop w:val="0"/>
          <w:marBottom w:val="0"/>
          <w:divBdr>
            <w:top w:val="none" w:sz="0" w:space="0" w:color="auto"/>
            <w:left w:val="none" w:sz="0" w:space="0" w:color="auto"/>
            <w:bottom w:val="none" w:sz="0" w:space="0" w:color="auto"/>
            <w:right w:val="none" w:sz="0" w:space="0" w:color="auto"/>
          </w:divBdr>
        </w:div>
        <w:div w:id="36129504">
          <w:marLeft w:val="720"/>
          <w:marRight w:val="0"/>
          <w:marTop w:val="0"/>
          <w:marBottom w:val="0"/>
          <w:divBdr>
            <w:top w:val="none" w:sz="0" w:space="0" w:color="auto"/>
            <w:left w:val="none" w:sz="0" w:space="0" w:color="auto"/>
            <w:bottom w:val="none" w:sz="0" w:space="0" w:color="auto"/>
            <w:right w:val="none" w:sz="0" w:space="0" w:color="auto"/>
          </w:divBdr>
        </w:div>
        <w:div w:id="2043750554">
          <w:marLeft w:val="720"/>
          <w:marRight w:val="0"/>
          <w:marTop w:val="0"/>
          <w:marBottom w:val="0"/>
          <w:divBdr>
            <w:top w:val="none" w:sz="0" w:space="0" w:color="auto"/>
            <w:left w:val="none" w:sz="0" w:space="0" w:color="auto"/>
            <w:bottom w:val="none" w:sz="0" w:space="0" w:color="auto"/>
            <w:right w:val="none" w:sz="0" w:space="0" w:color="auto"/>
          </w:divBdr>
        </w:div>
      </w:divsChild>
    </w:div>
    <w:div w:id="584924026">
      <w:bodyDiv w:val="1"/>
      <w:marLeft w:val="0"/>
      <w:marRight w:val="0"/>
      <w:marTop w:val="0"/>
      <w:marBottom w:val="0"/>
      <w:divBdr>
        <w:top w:val="none" w:sz="0" w:space="0" w:color="auto"/>
        <w:left w:val="none" w:sz="0" w:space="0" w:color="auto"/>
        <w:bottom w:val="none" w:sz="0" w:space="0" w:color="auto"/>
        <w:right w:val="none" w:sz="0" w:space="0" w:color="auto"/>
      </w:divBdr>
      <w:divsChild>
        <w:div w:id="1914580769">
          <w:marLeft w:val="446"/>
          <w:marRight w:val="0"/>
          <w:marTop w:val="120"/>
          <w:marBottom w:val="0"/>
          <w:divBdr>
            <w:top w:val="none" w:sz="0" w:space="0" w:color="auto"/>
            <w:left w:val="none" w:sz="0" w:space="0" w:color="auto"/>
            <w:bottom w:val="none" w:sz="0" w:space="0" w:color="auto"/>
            <w:right w:val="none" w:sz="0" w:space="0" w:color="auto"/>
          </w:divBdr>
        </w:div>
        <w:div w:id="1417165439">
          <w:marLeft w:val="446"/>
          <w:marRight w:val="0"/>
          <w:marTop w:val="120"/>
          <w:marBottom w:val="0"/>
          <w:divBdr>
            <w:top w:val="none" w:sz="0" w:space="0" w:color="auto"/>
            <w:left w:val="none" w:sz="0" w:space="0" w:color="auto"/>
            <w:bottom w:val="none" w:sz="0" w:space="0" w:color="auto"/>
            <w:right w:val="none" w:sz="0" w:space="0" w:color="auto"/>
          </w:divBdr>
        </w:div>
      </w:divsChild>
    </w:div>
    <w:div w:id="590894545">
      <w:bodyDiv w:val="1"/>
      <w:marLeft w:val="0"/>
      <w:marRight w:val="0"/>
      <w:marTop w:val="0"/>
      <w:marBottom w:val="0"/>
      <w:divBdr>
        <w:top w:val="none" w:sz="0" w:space="0" w:color="auto"/>
        <w:left w:val="none" w:sz="0" w:space="0" w:color="auto"/>
        <w:bottom w:val="none" w:sz="0" w:space="0" w:color="auto"/>
        <w:right w:val="none" w:sz="0" w:space="0" w:color="auto"/>
      </w:divBdr>
      <w:divsChild>
        <w:div w:id="929972205">
          <w:marLeft w:val="446"/>
          <w:marRight w:val="0"/>
          <w:marTop w:val="120"/>
          <w:marBottom w:val="0"/>
          <w:divBdr>
            <w:top w:val="none" w:sz="0" w:space="0" w:color="auto"/>
            <w:left w:val="none" w:sz="0" w:space="0" w:color="auto"/>
            <w:bottom w:val="none" w:sz="0" w:space="0" w:color="auto"/>
            <w:right w:val="none" w:sz="0" w:space="0" w:color="auto"/>
          </w:divBdr>
        </w:div>
        <w:div w:id="849834093">
          <w:marLeft w:val="446"/>
          <w:marRight w:val="0"/>
          <w:marTop w:val="120"/>
          <w:marBottom w:val="0"/>
          <w:divBdr>
            <w:top w:val="none" w:sz="0" w:space="0" w:color="auto"/>
            <w:left w:val="none" w:sz="0" w:space="0" w:color="auto"/>
            <w:bottom w:val="none" w:sz="0" w:space="0" w:color="auto"/>
            <w:right w:val="none" w:sz="0" w:space="0" w:color="auto"/>
          </w:divBdr>
        </w:div>
      </w:divsChild>
    </w:div>
    <w:div w:id="606082923">
      <w:bodyDiv w:val="1"/>
      <w:marLeft w:val="0"/>
      <w:marRight w:val="0"/>
      <w:marTop w:val="0"/>
      <w:marBottom w:val="0"/>
      <w:divBdr>
        <w:top w:val="none" w:sz="0" w:space="0" w:color="auto"/>
        <w:left w:val="none" w:sz="0" w:space="0" w:color="auto"/>
        <w:bottom w:val="none" w:sz="0" w:space="0" w:color="auto"/>
        <w:right w:val="none" w:sz="0" w:space="0" w:color="auto"/>
      </w:divBdr>
    </w:div>
    <w:div w:id="656153377">
      <w:bodyDiv w:val="1"/>
      <w:marLeft w:val="0"/>
      <w:marRight w:val="0"/>
      <w:marTop w:val="0"/>
      <w:marBottom w:val="0"/>
      <w:divBdr>
        <w:top w:val="none" w:sz="0" w:space="0" w:color="auto"/>
        <w:left w:val="none" w:sz="0" w:space="0" w:color="auto"/>
        <w:bottom w:val="none" w:sz="0" w:space="0" w:color="auto"/>
        <w:right w:val="none" w:sz="0" w:space="0" w:color="auto"/>
      </w:divBdr>
    </w:div>
    <w:div w:id="738022329">
      <w:bodyDiv w:val="1"/>
      <w:marLeft w:val="0"/>
      <w:marRight w:val="0"/>
      <w:marTop w:val="0"/>
      <w:marBottom w:val="0"/>
      <w:divBdr>
        <w:top w:val="none" w:sz="0" w:space="0" w:color="auto"/>
        <w:left w:val="none" w:sz="0" w:space="0" w:color="auto"/>
        <w:bottom w:val="none" w:sz="0" w:space="0" w:color="auto"/>
        <w:right w:val="none" w:sz="0" w:space="0" w:color="auto"/>
      </w:divBdr>
      <w:divsChild>
        <w:div w:id="1459911767">
          <w:marLeft w:val="706"/>
          <w:marRight w:val="0"/>
          <w:marTop w:val="120"/>
          <w:marBottom w:val="0"/>
          <w:divBdr>
            <w:top w:val="none" w:sz="0" w:space="0" w:color="auto"/>
            <w:left w:val="none" w:sz="0" w:space="0" w:color="auto"/>
            <w:bottom w:val="none" w:sz="0" w:space="0" w:color="auto"/>
            <w:right w:val="none" w:sz="0" w:space="0" w:color="auto"/>
          </w:divBdr>
        </w:div>
        <w:div w:id="1610888390">
          <w:marLeft w:val="706"/>
          <w:marRight w:val="0"/>
          <w:marTop w:val="120"/>
          <w:marBottom w:val="0"/>
          <w:divBdr>
            <w:top w:val="none" w:sz="0" w:space="0" w:color="auto"/>
            <w:left w:val="none" w:sz="0" w:space="0" w:color="auto"/>
            <w:bottom w:val="none" w:sz="0" w:space="0" w:color="auto"/>
            <w:right w:val="none" w:sz="0" w:space="0" w:color="auto"/>
          </w:divBdr>
        </w:div>
      </w:divsChild>
    </w:div>
    <w:div w:id="756946721">
      <w:bodyDiv w:val="1"/>
      <w:marLeft w:val="0"/>
      <w:marRight w:val="0"/>
      <w:marTop w:val="0"/>
      <w:marBottom w:val="0"/>
      <w:divBdr>
        <w:top w:val="none" w:sz="0" w:space="0" w:color="auto"/>
        <w:left w:val="none" w:sz="0" w:space="0" w:color="auto"/>
        <w:bottom w:val="none" w:sz="0" w:space="0" w:color="auto"/>
        <w:right w:val="none" w:sz="0" w:space="0" w:color="auto"/>
      </w:divBdr>
    </w:div>
    <w:div w:id="783580769">
      <w:bodyDiv w:val="1"/>
      <w:marLeft w:val="0"/>
      <w:marRight w:val="0"/>
      <w:marTop w:val="0"/>
      <w:marBottom w:val="0"/>
      <w:divBdr>
        <w:top w:val="none" w:sz="0" w:space="0" w:color="auto"/>
        <w:left w:val="none" w:sz="0" w:space="0" w:color="auto"/>
        <w:bottom w:val="none" w:sz="0" w:space="0" w:color="auto"/>
        <w:right w:val="none" w:sz="0" w:space="0" w:color="auto"/>
      </w:divBdr>
      <w:divsChild>
        <w:div w:id="816145766">
          <w:marLeft w:val="720"/>
          <w:marRight w:val="0"/>
          <w:marTop w:val="240"/>
          <w:marBottom w:val="0"/>
          <w:divBdr>
            <w:top w:val="none" w:sz="0" w:space="0" w:color="auto"/>
            <w:left w:val="none" w:sz="0" w:space="0" w:color="auto"/>
            <w:bottom w:val="none" w:sz="0" w:space="0" w:color="auto"/>
            <w:right w:val="none" w:sz="0" w:space="0" w:color="auto"/>
          </w:divBdr>
        </w:div>
      </w:divsChild>
    </w:div>
    <w:div w:id="810486825">
      <w:bodyDiv w:val="1"/>
      <w:marLeft w:val="0"/>
      <w:marRight w:val="0"/>
      <w:marTop w:val="0"/>
      <w:marBottom w:val="0"/>
      <w:divBdr>
        <w:top w:val="none" w:sz="0" w:space="0" w:color="auto"/>
        <w:left w:val="none" w:sz="0" w:space="0" w:color="auto"/>
        <w:bottom w:val="none" w:sz="0" w:space="0" w:color="auto"/>
        <w:right w:val="none" w:sz="0" w:space="0" w:color="auto"/>
      </w:divBdr>
      <w:divsChild>
        <w:div w:id="645090556">
          <w:marLeft w:val="446"/>
          <w:marRight w:val="0"/>
          <w:marTop w:val="120"/>
          <w:marBottom w:val="0"/>
          <w:divBdr>
            <w:top w:val="none" w:sz="0" w:space="0" w:color="auto"/>
            <w:left w:val="none" w:sz="0" w:space="0" w:color="auto"/>
            <w:bottom w:val="none" w:sz="0" w:space="0" w:color="auto"/>
            <w:right w:val="none" w:sz="0" w:space="0" w:color="auto"/>
          </w:divBdr>
        </w:div>
        <w:div w:id="1958639509">
          <w:marLeft w:val="446"/>
          <w:marRight w:val="0"/>
          <w:marTop w:val="120"/>
          <w:marBottom w:val="0"/>
          <w:divBdr>
            <w:top w:val="none" w:sz="0" w:space="0" w:color="auto"/>
            <w:left w:val="none" w:sz="0" w:space="0" w:color="auto"/>
            <w:bottom w:val="none" w:sz="0" w:space="0" w:color="auto"/>
            <w:right w:val="none" w:sz="0" w:space="0" w:color="auto"/>
          </w:divBdr>
        </w:div>
      </w:divsChild>
    </w:div>
    <w:div w:id="906644532">
      <w:bodyDiv w:val="1"/>
      <w:marLeft w:val="0"/>
      <w:marRight w:val="0"/>
      <w:marTop w:val="0"/>
      <w:marBottom w:val="0"/>
      <w:divBdr>
        <w:top w:val="none" w:sz="0" w:space="0" w:color="auto"/>
        <w:left w:val="none" w:sz="0" w:space="0" w:color="auto"/>
        <w:bottom w:val="none" w:sz="0" w:space="0" w:color="auto"/>
        <w:right w:val="none" w:sz="0" w:space="0" w:color="auto"/>
      </w:divBdr>
    </w:div>
    <w:div w:id="915819058">
      <w:bodyDiv w:val="1"/>
      <w:marLeft w:val="0"/>
      <w:marRight w:val="0"/>
      <w:marTop w:val="0"/>
      <w:marBottom w:val="0"/>
      <w:divBdr>
        <w:top w:val="none" w:sz="0" w:space="0" w:color="auto"/>
        <w:left w:val="none" w:sz="0" w:space="0" w:color="auto"/>
        <w:bottom w:val="none" w:sz="0" w:space="0" w:color="auto"/>
        <w:right w:val="none" w:sz="0" w:space="0" w:color="auto"/>
      </w:divBdr>
      <w:divsChild>
        <w:div w:id="851340554">
          <w:marLeft w:val="720"/>
          <w:marRight w:val="0"/>
          <w:marTop w:val="228"/>
          <w:marBottom w:val="0"/>
          <w:divBdr>
            <w:top w:val="none" w:sz="0" w:space="0" w:color="auto"/>
            <w:left w:val="none" w:sz="0" w:space="0" w:color="auto"/>
            <w:bottom w:val="none" w:sz="0" w:space="0" w:color="auto"/>
            <w:right w:val="none" w:sz="0" w:space="0" w:color="auto"/>
          </w:divBdr>
        </w:div>
      </w:divsChild>
    </w:div>
    <w:div w:id="1114520950">
      <w:bodyDiv w:val="1"/>
      <w:marLeft w:val="0"/>
      <w:marRight w:val="0"/>
      <w:marTop w:val="0"/>
      <w:marBottom w:val="0"/>
      <w:divBdr>
        <w:top w:val="none" w:sz="0" w:space="0" w:color="auto"/>
        <w:left w:val="none" w:sz="0" w:space="0" w:color="auto"/>
        <w:bottom w:val="none" w:sz="0" w:space="0" w:color="auto"/>
        <w:right w:val="none" w:sz="0" w:space="0" w:color="auto"/>
      </w:divBdr>
      <w:divsChild>
        <w:div w:id="1265839295">
          <w:marLeft w:val="432"/>
          <w:marRight w:val="0"/>
          <w:marTop w:val="120"/>
          <w:marBottom w:val="0"/>
          <w:divBdr>
            <w:top w:val="none" w:sz="0" w:space="0" w:color="auto"/>
            <w:left w:val="none" w:sz="0" w:space="0" w:color="auto"/>
            <w:bottom w:val="none" w:sz="0" w:space="0" w:color="auto"/>
            <w:right w:val="none" w:sz="0" w:space="0" w:color="auto"/>
          </w:divBdr>
        </w:div>
      </w:divsChild>
    </w:div>
    <w:div w:id="1137644193">
      <w:bodyDiv w:val="1"/>
      <w:marLeft w:val="0"/>
      <w:marRight w:val="0"/>
      <w:marTop w:val="0"/>
      <w:marBottom w:val="0"/>
      <w:divBdr>
        <w:top w:val="none" w:sz="0" w:space="0" w:color="auto"/>
        <w:left w:val="none" w:sz="0" w:space="0" w:color="auto"/>
        <w:bottom w:val="none" w:sz="0" w:space="0" w:color="auto"/>
        <w:right w:val="none" w:sz="0" w:space="0" w:color="auto"/>
      </w:divBdr>
    </w:div>
    <w:div w:id="1166824832">
      <w:bodyDiv w:val="1"/>
      <w:marLeft w:val="0"/>
      <w:marRight w:val="0"/>
      <w:marTop w:val="0"/>
      <w:marBottom w:val="0"/>
      <w:divBdr>
        <w:top w:val="none" w:sz="0" w:space="0" w:color="auto"/>
        <w:left w:val="none" w:sz="0" w:space="0" w:color="auto"/>
        <w:bottom w:val="none" w:sz="0" w:space="0" w:color="auto"/>
        <w:right w:val="none" w:sz="0" w:space="0" w:color="auto"/>
      </w:divBdr>
    </w:div>
    <w:div w:id="1169559786">
      <w:bodyDiv w:val="1"/>
      <w:marLeft w:val="0"/>
      <w:marRight w:val="0"/>
      <w:marTop w:val="0"/>
      <w:marBottom w:val="0"/>
      <w:divBdr>
        <w:top w:val="none" w:sz="0" w:space="0" w:color="auto"/>
        <w:left w:val="none" w:sz="0" w:space="0" w:color="auto"/>
        <w:bottom w:val="none" w:sz="0" w:space="0" w:color="auto"/>
        <w:right w:val="none" w:sz="0" w:space="0" w:color="auto"/>
      </w:divBdr>
      <w:divsChild>
        <w:div w:id="1690182885">
          <w:marLeft w:val="432"/>
          <w:marRight w:val="0"/>
          <w:marTop w:val="216"/>
          <w:marBottom w:val="0"/>
          <w:divBdr>
            <w:top w:val="none" w:sz="0" w:space="0" w:color="auto"/>
            <w:left w:val="none" w:sz="0" w:space="0" w:color="auto"/>
            <w:bottom w:val="none" w:sz="0" w:space="0" w:color="auto"/>
            <w:right w:val="none" w:sz="0" w:space="0" w:color="auto"/>
          </w:divBdr>
        </w:div>
        <w:div w:id="441532818">
          <w:marLeft w:val="1123"/>
          <w:marRight w:val="0"/>
          <w:marTop w:val="192"/>
          <w:marBottom w:val="0"/>
          <w:divBdr>
            <w:top w:val="none" w:sz="0" w:space="0" w:color="auto"/>
            <w:left w:val="none" w:sz="0" w:space="0" w:color="auto"/>
            <w:bottom w:val="none" w:sz="0" w:space="0" w:color="auto"/>
            <w:right w:val="none" w:sz="0" w:space="0" w:color="auto"/>
          </w:divBdr>
        </w:div>
        <w:div w:id="53359781">
          <w:marLeft w:val="1123"/>
          <w:marRight w:val="0"/>
          <w:marTop w:val="192"/>
          <w:marBottom w:val="0"/>
          <w:divBdr>
            <w:top w:val="none" w:sz="0" w:space="0" w:color="auto"/>
            <w:left w:val="none" w:sz="0" w:space="0" w:color="auto"/>
            <w:bottom w:val="none" w:sz="0" w:space="0" w:color="auto"/>
            <w:right w:val="none" w:sz="0" w:space="0" w:color="auto"/>
          </w:divBdr>
        </w:div>
      </w:divsChild>
    </w:div>
    <w:div w:id="1185243072">
      <w:bodyDiv w:val="1"/>
      <w:marLeft w:val="0"/>
      <w:marRight w:val="0"/>
      <w:marTop w:val="0"/>
      <w:marBottom w:val="0"/>
      <w:divBdr>
        <w:top w:val="none" w:sz="0" w:space="0" w:color="auto"/>
        <w:left w:val="none" w:sz="0" w:space="0" w:color="auto"/>
        <w:bottom w:val="none" w:sz="0" w:space="0" w:color="auto"/>
        <w:right w:val="none" w:sz="0" w:space="0" w:color="auto"/>
      </w:divBdr>
      <w:divsChild>
        <w:div w:id="881592854">
          <w:marLeft w:val="446"/>
          <w:marRight w:val="0"/>
          <w:marTop w:val="120"/>
          <w:marBottom w:val="0"/>
          <w:divBdr>
            <w:top w:val="none" w:sz="0" w:space="0" w:color="auto"/>
            <w:left w:val="none" w:sz="0" w:space="0" w:color="auto"/>
            <w:bottom w:val="none" w:sz="0" w:space="0" w:color="auto"/>
            <w:right w:val="none" w:sz="0" w:space="0" w:color="auto"/>
          </w:divBdr>
        </w:div>
        <w:div w:id="1902668776">
          <w:marLeft w:val="446"/>
          <w:marRight w:val="0"/>
          <w:marTop w:val="120"/>
          <w:marBottom w:val="0"/>
          <w:divBdr>
            <w:top w:val="none" w:sz="0" w:space="0" w:color="auto"/>
            <w:left w:val="none" w:sz="0" w:space="0" w:color="auto"/>
            <w:bottom w:val="none" w:sz="0" w:space="0" w:color="auto"/>
            <w:right w:val="none" w:sz="0" w:space="0" w:color="auto"/>
          </w:divBdr>
        </w:div>
      </w:divsChild>
    </w:div>
    <w:div w:id="1225530839">
      <w:bodyDiv w:val="1"/>
      <w:marLeft w:val="0"/>
      <w:marRight w:val="0"/>
      <w:marTop w:val="0"/>
      <w:marBottom w:val="0"/>
      <w:divBdr>
        <w:top w:val="none" w:sz="0" w:space="0" w:color="auto"/>
        <w:left w:val="none" w:sz="0" w:space="0" w:color="auto"/>
        <w:bottom w:val="none" w:sz="0" w:space="0" w:color="auto"/>
        <w:right w:val="none" w:sz="0" w:space="0" w:color="auto"/>
      </w:divBdr>
    </w:div>
    <w:div w:id="1225684195">
      <w:bodyDiv w:val="1"/>
      <w:marLeft w:val="0"/>
      <w:marRight w:val="0"/>
      <w:marTop w:val="0"/>
      <w:marBottom w:val="0"/>
      <w:divBdr>
        <w:top w:val="none" w:sz="0" w:space="0" w:color="auto"/>
        <w:left w:val="none" w:sz="0" w:space="0" w:color="auto"/>
        <w:bottom w:val="none" w:sz="0" w:space="0" w:color="auto"/>
        <w:right w:val="none" w:sz="0" w:space="0" w:color="auto"/>
      </w:divBdr>
      <w:divsChild>
        <w:div w:id="1594968678">
          <w:marLeft w:val="144"/>
          <w:marRight w:val="0"/>
          <w:marTop w:val="0"/>
          <w:marBottom w:val="120"/>
          <w:divBdr>
            <w:top w:val="none" w:sz="0" w:space="0" w:color="auto"/>
            <w:left w:val="none" w:sz="0" w:space="0" w:color="auto"/>
            <w:bottom w:val="none" w:sz="0" w:space="0" w:color="auto"/>
            <w:right w:val="none" w:sz="0" w:space="0" w:color="auto"/>
          </w:divBdr>
        </w:div>
      </w:divsChild>
    </w:div>
    <w:div w:id="1263954790">
      <w:bodyDiv w:val="1"/>
      <w:marLeft w:val="0"/>
      <w:marRight w:val="0"/>
      <w:marTop w:val="0"/>
      <w:marBottom w:val="0"/>
      <w:divBdr>
        <w:top w:val="none" w:sz="0" w:space="0" w:color="auto"/>
        <w:left w:val="none" w:sz="0" w:space="0" w:color="auto"/>
        <w:bottom w:val="none" w:sz="0" w:space="0" w:color="auto"/>
        <w:right w:val="none" w:sz="0" w:space="0" w:color="auto"/>
      </w:divBdr>
    </w:div>
    <w:div w:id="1265647633">
      <w:bodyDiv w:val="1"/>
      <w:marLeft w:val="0"/>
      <w:marRight w:val="0"/>
      <w:marTop w:val="0"/>
      <w:marBottom w:val="0"/>
      <w:divBdr>
        <w:top w:val="none" w:sz="0" w:space="0" w:color="auto"/>
        <w:left w:val="none" w:sz="0" w:space="0" w:color="auto"/>
        <w:bottom w:val="none" w:sz="0" w:space="0" w:color="auto"/>
        <w:right w:val="none" w:sz="0" w:space="0" w:color="auto"/>
      </w:divBdr>
      <w:divsChild>
        <w:div w:id="393360972">
          <w:marLeft w:val="547"/>
          <w:marRight w:val="0"/>
          <w:marTop w:val="0"/>
          <w:marBottom w:val="0"/>
          <w:divBdr>
            <w:top w:val="none" w:sz="0" w:space="0" w:color="auto"/>
            <w:left w:val="none" w:sz="0" w:space="0" w:color="auto"/>
            <w:bottom w:val="none" w:sz="0" w:space="0" w:color="auto"/>
            <w:right w:val="none" w:sz="0" w:space="0" w:color="auto"/>
          </w:divBdr>
        </w:div>
        <w:div w:id="854659086">
          <w:marLeft w:val="547"/>
          <w:marRight w:val="0"/>
          <w:marTop w:val="0"/>
          <w:marBottom w:val="0"/>
          <w:divBdr>
            <w:top w:val="none" w:sz="0" w:space="0" w:color="auto"/>
            <w:left w:val="none" w:sz="0" w:space="0" w:color="auto"/>
            <w:bottom w:val="none" w:sz="0" w:space="0" w:color="auto"/>
            <w:right w:val="none" w:sz="0" w:space="0" w:color="auto"/>
          </w:divBdr>
        </w:div>
        <w:div w:id="486437126">
          <w:marLeft w:val="547"/>
          <w:marRight w:val="0"/>
          <w:marTop w:val="0"/>
          <w:marBottom w:val="0"/>
          <w:divBdr>
            <w:top w:val="none" w:sz="0" w:space="0" w:color="auto"/>
            <w:left w:val="none" w:sz="0" w:space="0" w:color="auto"/>
            <w:bottom w:val="none" w:sz="0" w:space="0" w:color="auto"/>
            <w:right w:val="none" w:sz="0" w:space="0" w:color="auto"/>
          </w:divBdr>
        </w:div>
        <w:div w:id="1226839760">
          <w:marLeft w:val="547"/>
          <w:marRight w:val="0"/>
          <w:marTop w:val="0"/>
          <w:marBottom w:val="0"/>
          <w:divBdr>
            <w:top w:val="none" w:sz="0" w:space="0" w:color="auto"/>
            <w:left w:val="none" w:sz="0" w:space="0" w:color="auto"/>
            <w:bottom w:val="none" w:sz="0" w:space="0" w:color="auto"/>
            <w:right w:val="none" w:sz="0" w:space="0" w:color="auto"/>
          </w:divBdr>
        </w:div>
      </w:divsChild>
    </w:div>
    <w:div w:id="1378894469">
      <w:bodyDiv w:val="1"/>
      <w:marLeft w:val="0"/>
      <w:marRight w:val="0"/>
      <w:marTop w:val="0"/>
      <w:marBottom w:val="0"/>
      <w:divBdr>
        <w:top w:val="none" w:sz="0" w:space="0" w:color="auto"/>
        <w:left w:val="none" w:sz="0" w:space="0" w:color="auto"/>
        <w:bottom w:val="none" w:sz="0" w:space="0" w:color="auto"/>
        <w:right w:val="none" w:sz="0" w:space="0" w:color="auto"/>
      </w:divBdr>
    </w:div>
    <w:div w:id="1386296271">
      <w:bodyDiv w:val="1"/>
      <w:marLeft w:val="0"/>
      <w:marRight w:val="0"/>
      <w:marTop w:val="0"/>
      <w:marBottom w:val="0"/>
      <w:divBdr>
        <w:top w:val="none" w:sz="0" w:space="0" w:color="auto"/>
        <w:left w:val="none" w:sz="0" w:space="0" w:color="auto"/>
        <w:bottom w:val="none" w:sz="0" w:space="0" w:color="auto"/>
        <w:right w:val="none" w:sz="0" w:space="0" w:color="auto"/>
      </w:divBdr>
      <w:divsChild>
        <w:div w:id="2052610850">
          <w:marLeft w:val="720"/>
          <w:marRight w:val="0"/>
          <w:marTop w:val="228"/>
          <w:marBottom w:val="0"/>
          <w:divBdr>
            <w:top w:val="none" w:sz="0" w:space="0" w:color="auto"/>
            <w:left w:val="none" w:sz="0" w:space="0" w:color="auto"/>
            <w:bottom w:val="none" w:sz="0" w:space="0" w:color="auto"/>
            <w:right w:val="none" w:sz="0" w:space="0" w:color="auto"/>
          </w:divBdr>
        </w:div>
      </w:divsChild>
    </w:div>
    <w:div w:id="1488010089">
      <w:bodyDiv w:val="1"/>
      <w:marLeft w:val="0"/>
      <w:marRight w:val="0"/>
      <w:marTop w:val="0"/>
      <w:marBottom w:val="0"/>
      <w:divBdr>
        <w:top w:val="none" w:sz="0" w:space="0" w:color="auto"/>
        <w:left w:val="none" w:sz="0" w:space="0" w:color="auto"/>
        <w:bottom w:val="none" w:sz="0" w:space="0" w:color="auto"/>
        <w:right w:val="none" w:sz="0" w:space="0" w:color="auto"/>
      </w:divBdr>
      <w:divsChild>
        <w:div w:id="1169635107">
          <w:marLeft w:val="547"/>
          <w:marRight w:val="0"/>
          <w:marTop w:val="0"/>
          <w:marBottom w:val="0"/>
          <w:divBdr>
            <w:top w:val="none" w:sz="0" w:space="0" w:color="auto"/>
            <w:left w:val="none" w:sz="0" w:space="0" w:color="auto"/>
            <w:bottom w:val="none" w:sz="0" w:space="0" w:color="auto"/>
            <w:right w:val="none" w:sz="0" w:space="0" w:color="auto"/>
          </w:divBdr>
        </w:div>
      </w:divsChild>
    </w:div>
    <w:div w:id="1526096622">
      <w:bodyDiv w:val="1"/>
      <w:marLeft w:val="0"/>
      <w:marRight w:val="0"/>
      <w:marTop w:val="0"/>
      <w:marBottom w:val="0"/>
      <w:divBdr>
        <w:top w:val="none" w:sz="0" w:space="0" w:color="auto"/>
        <w:left w:val="none" w:sz="0" w:space="0" w:color="auto"/>
        <w:bottom w:val="none" w:sz="0" w:space="0" w:color="auto"/>
        <w:right w:val="none" w:sz="0" w:space="0" w:color="auto"/>
      </w:divBdr>
      <w:divsChild>
        <w:div w:id="382825103">
          <w:marLeft w:val="547"/>
          <w:marRight w:val="0"/>
          <w:marTop w:val="0"/>
          <w:marBottom w:val="0"/>
          <w:divBdr>
            <w:top w:val="none" w:sz="0" w:space="0" w:color="auto"/>
            <w:left w:val="none" w:sz="0" w:space="0" w:color="auto"/>
            <w:bottom w:val="none" w:sz="0" w:space="0" w:color="auto"/>
            <w:right w:val="none" w:sz="0" w:space="0" w:color="auto"/>
          </w:divBdr>
        </w:div>
        <w:div w:id="757293532">
          <w:marLeft w:val="547"/>
          <w:marRight w:val="0"/>
          <w:marTop w:val="0"/>
          <w:marBottom w:val="0"/>
          <w:divBdr>
            <w:top w:val="none" w:sz="0" w:space="0" w:color="auto"/>
            <w:left w:val="none" w:sz="0" w:space="0" w:color="auto"/>
            <w:bottom w:val="none" w:sz="0" w:space="0" w:color="auto"/>
            <w:right w:val="none" w:sz="0" w:space="0" w:color="auto"/>
          </w:divBdr>
        </w:div>
        <w:div w:id="1352297590">
          <w:marLeft w:val="547"/>
          <w:marRight w:val="0"/>
          <w:marTop w:val="0"/>
          <w:marBottom w:val="0"/>
          <w:divBdr>
            <w:top w:val="none" w:sz="0" w:space="0" w:color="auto"/>
            <w:left w:val="none" w:sz="0" w:space="0" w:color="auto"/>
            <w:bottom w:val="none" w:sz="0" w:space="0" w:color="auto"/>
            <w:right w:val="none" w:sz="0" w:space="0" w:color="auto"/>
          </w:divBdr>
        </w:div>
        <w:div w:id="1748917474">
          <w:marLeft w:val="547"/>
          <w:marRight w:val="0"/>
          <w:marTop w:val="0"/>
          <w:marBottom w:val="0"/>
          <w:divBdr>
            <w:top w:val="none" w:sz="0" w:space="0" w:color="auto"/>
            <w:left w:val="none" w:sz="0" w:space="0" w:color="auto"/>
            <w:bottom w:val="none" w:sz="0" w:space="0" w:color="auto"/>
            <w:right w:val="none" w:sz="0" w:space="0" w:color="auto"/>
          </w:divBdr>
        </w:div>
      </w:divsChild>
    </w:div>
    <w:div w:id="1569615103">
      <w:bodyDiv w:val="1"/>
      <w:marLeft w:val="0"/>
      <w:marRight w:val="0"/>
      <w:marTop w:val="0"/>
      <w:marBottom w:val="0"/>
      <w:divBdr>
        <w:top w:val="none" w:sz="0" w:space="0" w:color="auto"/>
        <w:left w:val="none" w:sz="0" w:space="0" w:color="auto"/>
        <w:bottom w:val="none" w:sz="0" w:space="0" w:color="auto"/>
        <w:right w:val="none" w:sz="0" w:space="0" w:color="auto"/>
      </w:divBdr>
      <w:divsChild>
        <w:div w:id="1098332213">
          <w:marLeft w:val="547"/>
          <w:marRight w:val="0"/>
          <w:marTop w:val="0"/>
          <w:marBottom w:val="0"/>
          <w:divBdr>
            <w:top w:val="none" w:sz="0" w:space="0" w:color="auto"/>
            <w:left w:val="none" w:sz="0" w:space="0" w:color="auto"/>
            <w:bottom w:val="none" w:sz="0" w:space="0" w:color="auto"/>
            <w:right w:val="none" w:sz="0" w:space="0" w:color="auto"/>
          </w:divBdr>
        </w:div>
      </w:divsChild>
    </w:div>
    <w:div w:id="1576167135">
      <w:bodyDiv w:val="1"/>
      <w:marLeft w:val="0"/>
      <w:marRight w:val="0"/>
      <w:marTop w:val="0"/>
      <w:marBottom w:val="0"/>
      <w:divBdr>
        <w:top w:val="none" w:sz="0" w:space="0" w:color="auto"/>
        <w:left w:val="none" w:sz="0" w:space="0" w:color="auto"/>
        <w:bottom w:val="none" w:sz="0" w:space="0" w:color="auto"/>
        <w:right w:val="none" w:sz="0" w:space="0" w:color="auto"/>
      </w:divBdr>
      <w:divsChild>
        <w:div w:id="2044943965">
          <w:marLeft w:val="446"/>
          <w:marRight w:val="0"/>
          <w:marTop w:val="120"/>
          <w:marBottom w:val="0"/>
          <w:divBdr>
            <w:top w:val="none" w:sz="0" w:space="0" w:color="auto"/>
            <w:left w:val="none" w:sz="0" w:space="0" w:color="auto"/>
            <w:bottom w:val="none" w:sz="0" w:space="0" w:color="auto"/>
            <w:right w:val="none" w:sz="0" w:space="0" w:color="auto"/>
          </w:divBdr>
        </w:div>
        <w:div w:id="260335562">
          <w:marLeft w:val="446"/>
          <w:marRight w:val="0"/>
          <w:marTop w:val="120"/>
          <w:marBottom w:val="0"/>
          <w:divBdr>
            <w:top w:val="none" w:sz="0" w:space="0" w:color="auto"/>
            <w:left w:val="none" w:sz="0" w:space="0" w:color="auto"/>
            <w:bottom w:val="none" w:sz="0" w:space="0" w:color="auto"/>
            <w:right w:val="none" w:sz="0" w:space="0" w:color="auto"/>
          </w:divBdr>
        </w:div>
        <w:div w:id="166672094">
          <w:marLeft w:val="446"/>
          <w:marRight w:val="0"/>
          <w:marTop w:val="120"/>
          <w:marBottom w:val="0"/>
          <w:divBdr>
            <w:top w:val="none" w:sz="0" w:space="0" w:color="auto"/>
            <w:left w:val="none" w:sz="0" w:space="0" w:color="auto"/>
            <w:bottom w:val="none" w:sz="0" w:space="0" w:color="auto"/>
            <w:right w:val="none" w:sz="0" w:space="0" w:color="auto"/>
          </w:divBdr>
        </w:div>
        <w:div w:id="506213477">
          <w:marLeft w:val="446"/>
          <w:marRight w:val="0"/>
          <w:marTop w:val="120"/>
          <w:marBottom w:val="0"/>
          <w:divBdr>
            <w:top w:val="none" w:sz="0" w:space="0" w:color="auto"/>
            <w:left w:val="none" w:sz="0" w:space="0" w:color="auto"/>
            <w:bottom w:val="none" w:sz="0" w:space="0" w:color="auto"/>
            <w:right w:val="none" w:sz="0" w:space="0" w:color="auto"/>
          </w:divBdr>
        </w:div>
        <w:div w:id="695885393">
          <w:marLeft w:val="446"/>
          <w:marRight w:val="0"/>
          <w:marTop w:val="120"/>
          <w:marBottom w:val="0"/>
          <w:divBdr>
            <w:top w:val="none" w:sz="0" w:space="0" w:color="auto"/>
            <w:left w:val="none" w:sz="0" w:space="0" w:color="auto"/>
            <w:bottom w:val="none" w:sz="0" w:space="0" w:color="auto"/>
            <w:right w:val="none" w:sz="0" w:space="0" w:color="auto"/>
          </w:divBdr>
        </w:div>
      </w:divsChild>
    </w:div>
    <w:div w:id="1597010460">
      <w:bodyDiv w:val="1"/>
      <w:marLeft w:val="0"/>
      <w:marRight w:val="0"/>
      <w:marTop w:val="0"/>
      <w:marBottom w:val="0"/>
      <w:divBdr>
        <w:top w:val="none" w:sz="0" w:space="0" w:color="auto"/>
        <w:left w:val="none" w:sz="0" w:space="0" w:color="auto"/>
        <w:bottom w:val="none" w:sz="0" w:space="0" w:color="auto"/>
        <w:right w:val="none" w:sz="0" w:space="0" w:color="auto"/>
      </w:divBdr>
    </w:div>
    <w:div w:id="1606688378">
      <w:bodyDiv w:val="1"/>
      <w:marLeft w:val="0"/>
      <w:marRight w:val="0"/>
      <w:marTop w:val="0"/>
      <w:marBottom w:val="0"/>
      <w:divBdr>
        <w:top w:val="none" w:sz="0" w:space="0" w:color="auto"/>
        <w:left w:val="none" w:sz="0" w:space="0" w:color="auto"/>
        <w:bottom w:val="none" w:sz="0" w:space="0" w:color="auto"/>
        <w:right w:val="none" w:sz="0" w:space="0" w:color="auto"/>
      </w:divBdr>
      <w:divsChild>
        <w:div w:id="1961566352">
          <w:marLeft w:val="979"/>
          <w:marRight w:val="0"/>
          <w:marTop w:val="0"/>
          <w:marBottom w:val="0"/>
          <w:divBdr>
            <w:top w:val="none" w:sz="0" w:space="0" w:color="auto"/>
            <w:left w:val="none" w:sz="0" w:space="0" w:color="auto"/>
            <w:bottom w:val="none" w:sz="0" w:space="0" w:color="auto"/>
            <w:right w:val="none" w:sz="0" w:space="0" w:color="auto"/>
          </w:divBdr>
        </w:div>
        <w:div w:id="2044475301">
          <w:marLeft w:val="979"/>
          <w:marRight w:val="0"/>
          <w:marTop w:val="0"/>
          <w:marBottom w:val="0"/>
          <w:divBdr>
            <w:top w:val="none" w:sz="0" w:space="0" w:color="auto"/>
            <w:left w:val="none" w:sz="0" w:space="0" w:color="auto"/>
            <w:bottom w:val="none" w:sz="0" w:space="0" w:color="auto"/>
            <w:right w:val="none" w:sz="0" w:space="0" w:color="auto"/>
          </w:divBdr>
        </w:div>
        <w:div w:id="606426037">
          <w:marLeft w:val="979"/>
          <w:marRight w:val="0"/>
          <w:marTop w:val="0"/>
          <w:marBottom w:val="0"/>
          <w:divBdr>
            <w:top w:val="none" w:sz="0" w:space="0" w:color="auto"/>
            <w:left w:val="none" w:sz="0" w:space="0" w:color="auto"/>
            <w:bottom w:val="none" w:sz="0" w:space="0" w:color="auto"/>
            <w:right w:val="none" w:sz="0" w:space="0" w:color="auto"/>
          </w:divBdr>
        </w:div>
        <w:div w:id="1885213831">
          <w:marLeft w:val="979"/>
          <w:marRight w:val="0"/>
          <w:marTop w:val="0"/>
          <w:marBottom w:val="0"/>
          <w:divBdr>
            <w:top w:val="none" w:sz="0" w:space="0" w:color="auto"/>
            <w:left w:val="none" w:sz="0" w:space="0" w:color="auto"/>
            <w:bottom w:val="none" w:sz="0" w:space="0" w:color="auto"/>
            <w:right w:val="none" w:sz="0" w:space="0" w:color="auto"/>
          </w:divBdr>
        </w:div>
        <w:div w:id="911741419">
          <w:marLeft w:val="979"/>
          <w:marRight w:val="0"/>
          <w:marTop w:val="0"/>
          <w:marBottom w:val="0"/>
          <w:divBdr>
            <w:top w:val="none" w:sz="0" w:space="0" w:color="auto"/>
            <w:left w:val="none" w:sz="0" w:space="0" w:color="auto"/>
            <w:bottom w:val="none" w:sz="0" w:space="0" w:color="auto"/>
            <w:right w:val="none" w:sz="0" w:space="0" w:color="auto"/>
          </w:divBdr>
        </w:div>
      </w:divsChild>
    </w:div>
    <w:div w:id="1617364867">
      <w:bodyDiv w:val="1"/>
      <w:marLeft w:val="0"/>
      <w:marRight w:val="0"/>
      <w:marTop w:val="0"/>
      <w:marBottom w:val="0"/>
      <w:divBdr>
        <w:top w:val="none" w:sz="0" w:space="0" w:color="auto"/>
        <w:left w:val="none" w:sz="0" w:space="0" w:color="auto"/>
        <w:bottom w:val="none" w:sz="0" w:space="0" w:color="auto"/>
        <w:right w:val="none" w:sz="0" w:space="0" w:color="auto"/>
      </w:divBdr>
      <w:divsChild>
        <w:div w:id="815298911">
          <w:marLeft w:val="720"/>
          <w:marRight w:val="0"/>
          <w:marTop w:val="228"/>
          <w:marBottom w:val="0"/>
          <w:divBdr>
            <w:top w:val="none" w:sz="0" w:space="0" w:color="auto"/>
            <w:left w:val="none" w:sz="0" w:space="0" w:color="auto"/>
            <w:bottom w:val="none" w:sz="0" w:space="0" w:color="auto"/>
            <w:right w:val="none" w:sz="0" w:space="0" w:color="auto"/>
          </w:divBdr>
        </w:div>
      </w:divsChild>
    </w:div>
    <w:div w:id="1635914820">
      <w:bodyDiv w:val="1"/>
      <w:marLeft w:val="0"/>
      <w:marRight w:val="0"/>
      <w:marTop w:val="0"/>
      <w:marBottom w:val="0"/>
      <w:divBdr>
        <w:top w:val="none" w:sz="0" w:space="0" w:color="auto"/>
        <w:left w:val="none" w:sz="0" w:space="0" w:color="auto"/>
        <w:bottom w:val="none" w:sz="0" w:space="0" w:color="auto"/>
        <w:right w:val="none" w:sz="0" w:space="0" w:color="auto"/>
      </w:divBdr>
    </w:div>
    <w:div w:id="1683363213">
      <w:bodyDiv w:val="1"/>
      <w:marLeft w:val="0"/>
      <w:marRight w:val="0"/>
      <w:marTop w:val="0"/>
      <w:marBottom w:val="0"/>
      <w:divBdr>
        <w:top w:val="none" w:sz="0" w:space="0" w:color="auto"/>
        <w:left w:val="none" w:sz="0" w:space="0" w:color="auto"/>
        <w:bottom w:val="none" w:sz="0" w:space="0" w:color="auto"/>
        <w:right w:val="none" w:sz="0" w:space="0" w:color="auto"/>
      </w:divBdr>
      <w:divsChild>
        <w:div w:id="1926184244">
          <w:marLeft w:val="446"/>
          <w:marRight w:val="0"/>
          <w:marTop w:val="120"/>
          <w:marBottom w:val="0"/>
          <w:divBdr>
            <w:top w:val="none" w:sz="0" w:space="0" w:color="auto"/>
            <w:left w:val="none" w:sz="0" w:space="0" w:color="auto"/>
            <w:bottom w:val="none" w:sz="0" w:space="0" w:color="auto"/>
            <w:right w:val="none" w:sz="0" w:space="0" w:color="auto"/>
          </w:divBdr>
        </w:div>
        <w:div w:id="1091783019">
          <w:marLeft w:val="446"/>
          <w:marRight w:val="0"/>
          <w:marTop w:val="120"/>
          <w:marBottom w:val="0"/>
          <w:divBdr>
            <w:top w:val="none" w:sz="0" w:space="0" w:color="auto"/>
            <w:left w:val="none" w:sz="0" w:space="0" w:color="auto"/>
            <w:bottom w:val="none" w:sz="0" w:space="0" w:color="auto"/>
            <w:right w:val="none" w:sz="0" w:space="0" w:color="auto"/>
          </w:divBdr>
        </w:div>
        <w:div w:id="1712070884">
          <w:marLeft w:val="446"/>
          <w:marRight w:val="0"/>
          <w:marTop w:val="120"/>
          <w:marBottom w:val="0"/>
          <w:divBdr>
            <w:top w:val="none" w:sz="0" w:space="0" w:color="auto"/>
            <w:left w:val="none" w:sz="0" w:space="0" w:color="auto"/>
            <w:bottom w:val="none" w:sz="0" w:space="0" w:color="auto"/>
            <w:right w:val="none" w:sz="0" w:space="0" w:color="auto"/>
          </w:divBdr>
        </w:div>
      </w:divsChild>
    </w:div>
    <w:div w:id="1688824187">
      <w:bodyDiv w:val="1"/>
      <w:marLeft w:val="0"/>
      <w:marRight w:val="0"/>
      <w:marTop w:val="0"/>
      <w:marBottom w:val="0"/>
      <w:divBdr>
        <w:top w:val="none" w:sz="0" w:space="0" w:color="auto"/>
        <w:left w:val="none" w:sz="0" w:space="0" w:color="auto"/>
        <w:bottom w:val="none" w:sz="0" w:space="0" w:color="auto"/>
        <w:right w:val="none" w:sz="0" w:space="0" w:color="auto"/>
      </w:divBdr>
    </w:div>
    <w:div w:id="1719549363">
      <w:bodyDiv w:val="1"/>
      <w:marLeft w:val="0"/>
      <w:marRight w:val="0"/>
      <w:marTop w:val="0"/>
      <w:marBottom w:val="0"/>
      <w:divBdr>
        <w:top w:val="none" w:sz="0" w:space="0" w:color="auto"/>
        <w:left w:val="none" w:sz="0" w:space="0" w:color="auto"/>
        <w:bottom w:val="none" w:sz="0" w:space="0" w:color="auto"/>
        <w:right w:val="none" w:sz="0" w:space="0" w:color="auto"/>
      </w:divBdr>
      <w:divsChild>
        <w:div w:id="625353725">
          <w:marLeft w:val="446"/>
          <w:marRight w:val="0"/>
          <w:marTop w:val="120"/>
          <w:marBottom w:val="0"/>
          <w:divBdr>
            <w:top w:val="none" w:sz="0" w:space="0" w:color="auto"/>
            <w:left w:val="none" w:sz="0" w:space="0" w:color="auto"/>
            <w:bottom w:val="none" w:sz="0" w:space="0" w:color="auto"/>
            <w:right w:val="none" w:sz="0" w:space="0" w:color="auto"/>
          </w:divBdr>
        </w:div>
        <w:div w:id="861474559">
          <w:marLeft w:val="446"/>
          <w:marRight w:val="0"/>
          <w:marTop w:val="120"/>
          <w:marBottom w:val="0"/>
          <w:divBdr>
            <w:top w:val="none" w:sz="0" w:space="0" w:color="auto"/>
            <w:left w:val="none" w:sz="0" w:space="0" w:color="auto"/>
            <w:bottom w:val="none" w:sz="0" w:space="0" w:color="auto"/>
            <w:right w:val="none" w:sz="0" w:space="0" w:color="auto"/>
          </w:divBdr>
        </w:div>
        <w:div w:id="1582905652">
          <w:marLeft w:val="446"/>
          <w:marRight w:val="0"/>
          <w:marTop w:val="120"/>
          <w:marBottom w:val="0"/>
          <w:divBdr>
            <w:top w:val="none" w:sz="0" w:space="0" w:color="auto"/>
            <w:left w:val="none" w:sz="0" w:space="0" w:color="auto"/>
            <w:bottom w:val="none" w:sz="0" w:space="0" w:color="auto"/>
            <w:right w:val="none" w:sz="0" w:space="0" w:color="auto"/>
          </w:divBdr>
        </w:div>
        <w:div w:id="1470366980">
          <w:marLeft w:val="446"/>
          <w:marRight w:val="0"/>
          <w:marTop w:val="120"/>
          <w:marBottom w:val="0"/>
          <w:divBdr>
            <w:top w:val="none" w:sz="0" w:space="0" w:color="auto"/>
            <w:left w:val="none" w:sz="0" w:space="0" w:color="auto"/>
            <w:bottom w:val="none" w:sz="0" w:space="0" w:color="auto"/>
            <w:right w:val="none" w:sz="0" w:space="0" w:color="auto"/>
          </w:divBdr>
        </w:div>
      </w:divsChild>
    </w:div>
    <w:div w:id="1752657051">
      <w:bodyDiv w:val="1"/>
      <w:marLeft w:val="0"/>
      <w:marRight w:val="0"/>
      <w:marTop w:val="0"/>
      <w:marBottom w:val="0"/>
      <w:divBdr>
        <w:top w:val="none" w:sz="0" w:space="0" w:color="auto"/>
        <w:left w:val="none" w:sz="0" w:space="0" w:color="auto"/>
        <w:bottom w:val="none" w:sz="0" w:space="0" w:color="auto"/>
        <w:right w:val="none" w:sz="0" w:space="0" w:color="auto"/>
      </w:divBdr>
      <w:divsChild>
        <w:div w:id="167913417">
          <w:marLeft w:val="720"/>
          <w:marRight w:val="0"/>
          <w:marTop w:val="228"/>
          <w:marBottom w:val="0"/>
          <w:divBdr>
            <w:top w:val="none" w:sz="0" w:space="0" w:color="auto"/>
            <w:left w:val="none" w:sz="0" w:space="0" w:color="auto"/>
            <w:bottom w:val="none" w:sz="0" w:space="0" w:color="auto"/>
            <w:right w:val="none" w:sz="0" w:space="0" w:color="auto"/>
          </w:divBdr>
        </w:div>
      </w:divsChild>
    </w:div>
    <w:div w:id="1778216437">
      <w:bodyDiv w:val="1"/>
      <w:marLeft w:val="0"/>
      <w:marRight w:val="0"/>
      <w:marTop w:val="0"/>
      <w:marBottom w:val="0"/>
      <w:divBdr>
        <w:top w:val="none" w:sz="0" w:space="0" w:color="auto"/>
        <w:left w:val="none" w:sz="0" w:space="0" w:color="auto"/>
        <w:bottom w:val="none" w:sz="0" w:space="0" w:color="auto"/>
        <w:right w:val="none" w:sz="0" w:space="0" w:color="auto"/>
      </w:divBdr>
    </w:div>
    <w:div w:id="1799836055">
      <w:bodyDiv w:val="1"/>
      <w:marLeft w:val="0"/>
      <w:marRight w:val="0"/>
      <w:marTop w:val="0"/>
      <w:marBottom w:val="0"/>
      <w:divBdr>
        <w:top w:val="none" w:sz="0" w:space="0" w:color="auto"/>
        <w:left w:val="none" w:sz="0" w:space="0" w:color="auto"/>
        <w:bottom w:val="none" w:sz="0" w:space="0" w:color="auto"/>
        <w:right w:val="none" w:sz="0" w:space="0" w:color="auto"/>
      </w:divBdr>
      <w:divsChild>
        <w:div w:id="92869259">
          <w:marLeft w:val="720"/>
          <w:marRight w:val="0"/>
          <w:marTop w:val="240"/>
          <w:marBottom w:val="0"/>
          <w:divBdr>
            <w:top w:val="none" w:sz="0" w:space="0" w:color="auto"/>
            <w:left w:val="none" w:sz="0" w:space="0" w:color="auto"/>
            <w:bottom w:val="none" w:sz="0" w:space="0" w:color="auto"/>
            <w:right w:val="none" w:sz="0" w:space="0" w:color="auto"/>
          </w:divBdr>
        </w:div>
        <w:div w:id="1939948361">
          <w:marLeft w:val="720"/>
          <w:marRight w:val="0"/>
          <w:marTop w:val="240"/>
          <w:marBottom w:val="0"/>
          <w:divBdr>
            <w:top w:val="none" w:sz="0" w:space="0" w:color="auto"/>
            <w:left w:val="none" w:sz="0" w:space="0" w:color="auto"/>
            <w:bottom w:val="none" w:sz="0" w:space="0" w:color="auto"/>
            <w:right w:val="none" w:sz="0" w:space="0" w:color="auto"/>
          </w:divBdr>
        </w:div>
      </w:divsChild>
    </w:div>
    <w:div w:id="1811703417">
      <w:bodyDiv w:val="1"/>
      <w:marLeft w:val="0"/>
      <w:marRight w:val="0"/>
      <w:marTop w:val="0"/>
      <w:marBottom w:val="0"/>
      <w:divBdr>
        <w:top w:val="none" w:sz="0" w:space="0" w:color="auto"/>
        <w:left w:val="none" w:sz="0" w:space="0" w:color="auto"/>
        <w:bottom w:val="none" w:sz="0" w:space="0" w:color="auto"/>
        <w:right w:val="none" w:sz="0" w:space="0" w:color="auto"/>
      </w:divBdr>
      <w:divsChild>
        <w:div w:id="1094133652">
          <w:marLeft w:val="720"/>
          <w:marRight w:val="0"/>
          <w:marTop w:val="240"/>
          <w:marBottom w:val="0"/>
          <w:divBdr>
            <w:top w:val="none" w:sz="0" w:space="0" w:color="auto"/>
            <w:left w:val="none" w:sz="0" w:space="0" w:color="auto"/>
            <w:bottom w:val="none" w:sz="0" w:space="0" w:color="auto"/>
            <w:right w:val="none" w:sz="0" w:space="0" w:color="auto"/>
          </w:divBdr>
        </w:div>
      </w:divsChild>
    </w:div>
    <w:div w:id="1855653819">
      <w:bodyDiv w:val="1"/>
      <w:marLeft w:val="0"/>
      <w:marRight w:val="0"/>
      <w:marTop w:val="0"/>
      <w:marBottom w:val="0"/>
      <w:divBdr>
        <w:top w:val="none" w:sz="0" w:space="0" w:color="auto"/>
        <w:left w:val="none" w:sz="0" w:space="0" w:color="auto"/>
        <w:bottom w:val="none" w:sz="0" w:space="0" w:color="auto"/>
        <w:right w:val="none" w:sz="0" w:space="0" w:color="auto"/>
      </w:divBdr>
    </w:div>
    <w:div w:id="1904676758">
      <w:bodyDiv w:val="1"/>
      <w:marLeft w:val="0"/>
      <w:marRight w:val="0"/>
      <w:marTop w:val="0"/>
      <w:marBottom w:val="0"/>
      <w:divBdr>
        <w:top w:val="none" w:sz="0" w:space="0" w:color="auto"/>
        <w:left w:val="none" w:sz="0" w:space="0" w:color="auto"/>
        <w:bottom w:val="none" w:sz="0" w:space="0" w:color="auto"/>
        <w:right w:val="none" w:sz="0" w:space="0" w:color="auto"/>
      </w:divBdr>
    </w:div>
    <w:div w:id="1914967824">
      <w:bodyDiv w:val="1"/>
      <w:marLeft w:val="0"/>
      <w:marRight w:val="0"/>
      <w:marTop w:val="0"/>
      <w:marBottom w:val="0"/>
      <w:divBdr>
        <w:top w:val="none" w:sz="0" w:space="0" w:color="auto"/>
        <w:left w:val="none" w:sz="0" w:space="0" w:color="auto"/>
        <w:bottom w:val="none" w:sz="0" w:space="0" w:color="auto"/>
        <w:right w:val="none" w:sz="0" w:space="0" w:color="auto"/>
      </w:divBdr>
    </w:div>
    <w:div w:id="1920409309">
      <w:bodyDiv w:val="1"/>
      <w:marLeft w:val="0"/>
      <w:marRight w:val="0"/>
      <w:marTop w:val="0"/>
      <w:marBottom w:val="0"/>
      <w:divBdr>
        <w:top w:val="none" w:sz="0" w:space="0" w:color="auto"/>
        <w:left w:val="none" w:sz="0" w:space="0" w:color="auto"/>
        <w:bottom w:val="none" w:sz="0" w:space="0" w:color="auto"/>
        <w:right w:val="none" w:sz="0" w:space="0" w:color="auto"/>
      </w:divBdr>
      <w:divsChild>
        <w:div w:id="438529963">
          <w:marLeft w:val="446"/>
          <w:marRight w:val="0"/>
          <w:marTop w:val="120"/>
          <w:marBottom w:val="0"/>
          <w:divBdr>
            <w:top w:val="none" w:sz="0" w:space="0" w:color="auto"/>
            <w:left w:val="none" w:sz="0" w:space="0" w:color="auto"/>
            <w:bottom w:val="none" w:sz="0" w:space="0" w:color="auto"/>
            <w:right w:val="none" w:sz="0" w:space="0" w:color="auto"/>
          </w:divBdr>
        </w:div>
        <w:div w:id="1223251593">
          <w:marLeft w:val="446"/>
          <w:marRight w:val="0"/>
          <w:marTop w:val="120"/>
          <w:marBottom w:val="0"/>
          <w:divBdr>
            <w:top w:val="none" w:sz="0" w:space="0" w:color="auto"/>
            <w:left w:val="none" w:sz="0" w:space="0" w:color="auto"/>
            <w:bottom w:val="none" w:sz="0" w:space="0" w:color="auto"/>
            <w:right w:val="none" w:sz="0" w:space="0" w:color="auto"/>
          </w:divBdr>
        </w:div>
      </w:divsChild>
    </w:div>
    <w:div w:id="1923030094">
      <w:bodyDiv w:val="1"/>
      <w:marLeft w:val="0"/>
      <w:marRight w:val="0"/>
      <w:marTop w:val="0"/>
      <w:marBottom w:val="0"/>
      <w:divBdr>
        <w:top w:val="none" w:sz="0" w:space="0" w:color="auto"/>
        <w:left w:val="none" w:sz="0" w:space="0" w:color="auto"/>
        <w:bottom w:val="none" w:sz="0" w:space="0" w:color="auto"/>
        <w:right w:val="none" w:sz="0" w:space="0" w:color="auto"/>
      </w:divBdr>
      <w:divsChild>
        <w:div w:id="937982070">
          <w:marLeft w:val="187"/>
          <w:marRight w:val="0"/>
          <w:marTop w:val="0"/>
          <w:marBottom w:val="120"/>
          <w:divBdr>
            <w:top w:val="none" w:sz="0" w:space="0" w:color="auto"/>
            <w:left w:val="none" w:sz="0" w:space="0" w:color="auto"/>
            <w:bottom w:val="none" w:sz="0" w:space="0" w:color="auto"/>
            <w:right w:val="none" w:sz="0" w:space="0" w:color="auto"/>
          </w:divBdr>
        </w:div>
      </w:divsChild>
    </w:div>
    <w:div w:id="1965501507">
      <w:bodyDiv w:val="1"/>
      <w:marLeft w:val="0"/>
      <w:marRight w:val="0"/>
      <w:marTop w:val="0"/>
      <w:marBottom w:val="0"/>
      <w:divBdr>
        <w:top w:val="none" w:sz="0" w:space="0" w:color="auto"/>
        <w:left w:val="none" w:sz="0" w:space="0" w:color="auto"/>
        <w:bottom w:val="none" w:sz="0" w:space="0" w:color="auto"/>
        <w:right w:val="none" w:sz="0" w:space="0" w:color="auto"/>
      </w:divBdr>
      <w:divsChild>
        <w:div w:id="878784149">
          <w:marLeft w:val="432"/>
          <w:marRight w:val="0"/>
          <w:marTop w:val="240"/>
          <w:marBottom w:val="0"/>
          <w:divBdr>
            <w:top w:val="none" w:sz="0" w:space="0" w:color="auto"/>
            <w:left w:val="none" w:sz="0" w:space="0" w:color="auto"/>
            <w:bottom w:val="none" w:sz="0" w:space="0" w:color="auto"/>
            <w:right w:val="none" w:sz="0" w:space="0" w:color="auto"/>
          </w:divBdr>
        </w:div>
        <w:div w:id="758331373">
          <w:marLeft w:val="1123"/>
          <w:marRight w:val="0"/>
          <w:marTop w:val="216"/>
          <w:marBottom w:val="0"/>
          <w:divBdr>
            <w:top w:val="none" w:sz="0" w:space="0" w:color="auto"/>
            <w:left w:val="none" w:sz="0" w:space="0" w:color="auto"/>
            <w:bottom w:val="none" w:sz="0" w:space="0" w:color="auto"/>
            <w:right w:val="none" w:sz="0" w:space="0" w:color="auto"/>
          </w:divBdr>
        </w:div>
        <w:div w:id="140192272">
          <w:marLeft w:val="1123"/>
          <w:marRight w:val="0"/>
          <w:marTop w:val="216"/>
          <w:marBottom w:val="0"/>
          <w:divBdr>
            <w:top w:val="none" w:sz="0" w:space="0" w:color="auto"/>
            <w:left w:val="none" w:sz="0" w:space="0" w:color="auto"/>
            <w:bottom w:val="none" w:sz="0" w:space="0" w:color="auto"/>
            <w:right w:val="none" w:sz="0" w:space="0" w:color="auto"/>
          </w:divBdr>
        </w:div>
        <w:div w:id="470680680">
          <w:marLeft w:val="1123"/>
          <w:marRight w:val="0"/>
          <w:marTop w:val="216"/>
          <w:marBottom w:val="0"/>
          <w:divBdr>
            <w:top w:val="none" w:sz="0" w:space="0" w:color="auto"/>
            <w:left w:val="none" w:sz="0" w:space="0" w:color="auto"/>
            <w:bottom w:val="none" w:sz="0" w:space="0" w:color="auto"/>
            <w:right w:val="none" w:sz="0" w:space="0" w:color="auto"/>
          </w:divBdr>
        </w:div>
        <w:div w:id="778063662">
          <w:marLeft w:val="432"/>
          <w:marRight w:val="0"/>
          <w:marTop w:val="240"/>
          <w:marBottom w:val="0"/>
          <w:divBdr>
            <w:top w:val="none" w:sz="0" w:space="0" w:color="auto"/>
            <w:left w:val="none" w:sz="0" w:space="0" w:color="auto"/>
            <w:bottom w:val="none" w:sz="0" w:space="0" w:color="auto"/>
            <w:right w:val="none" w:sz="0" w:space="0" w:color="auto"/>
          </w:divBdr>
        </w:div>
        <w:div w:id="1009985251">
          <w:marLeft w:val="1123"/>
          <w:marRight w:val="0"/>
          <w:marTop w:val="192"/>
          <w:marBottom w:val="0"/>
          <w:divBdr>
            <w:top w:val="none" w:sz="0" w:space="0" w:color="auto"/>
            <w:left w:val="none" w:sz="0" w:space="0" w:color="auto"/>
            <w:bottom w:val="none" w:sz="0" w:space="0" w:color="auto"/>
            <w:right w:val="none" w:sz="0" w:space="0" w:color="auto"/>
          </w:divBdr>
        </w:div>
      </w:divsChild>
    </w:div>
    <w:div w:id="2020696826">
      <w:bodyDiv w:val="1"/>
      <w:marLeft w:val="0"/>
      <w:marRight w:val="0"/>
      <w:marTop w:val="0"/>
      <w:marBottom w:val="0"/>
      <w:divBdr>
        <w:top w:val="none" w:sz="0" w:space="0" w:color="auto"/>
        <w:left w:val="none" w:sz="0" w:space="0" w:color="auto"/>
        <w:bottom w:val="none" w:sz="0" w:space="0" w:color="auto"/>
        <w:right w:val="none" w:sz="0" w:space="0" w:color="auto"/>
      </w:divBdr>
    </w:div>
    <w:div w:id="2047442932">
      <w:bodyDiv w:val="1"/>
      <w:marLeft w:val="0"/>
      <w:marRight w:val="0"/>
      <w:marTop w:val="0"/>
      <w:marBottom w:val="0"/>
      <w:divBdr>
        <w:top w:val="none" w:sz="0" w:space="0" w:color="auto"/>
        <w:left w:val="none" w:sz="0" w:space="0" w:color="auto"/>
        <w:bottom w:val="none" w:sz="0" w:space="0" w:color="auto"/>
        <w:right w:val="none" w:sz="0" w:space="0" w:color="auto"/>
      </w:divBdr>
      <w:divsChild>
        <w:div w:id="15439082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actuaries.org.u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j\AppData\Local\Microsoft\Windows\Temporary%20Internet%20Files\Content.Outlook\4HA7DLFI\IFoA_Research_paper_cover_front_and_bac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837ce2c-d5ff-4523-9e8b-f2f1ecc11bad" origin="defaultValue">
  <element uid="491d0feb-7880-4f13-b762-2f50c2dcacbf"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551A-5CD1-4E84-94BF-A09658C655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F17F1C-52E8-4752-93AE-0D39506A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IFoA_Research_paper_cover_front_and_back</Template>
  <TotalTime>1</TotalTime>
  <Pages>15</Pages>
  <Words>5614</Words>
  <Characters>28973</Characters>
  <Application>Microsoft Office Word</Application>
  <DocSecurity>0</DocSecurity>
  <Lines>591</Lines>
  <Paragraphs>250</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34337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Jiggins</dc:creator>
  <cp:keywords>PUBLIC -</cp:keywords>
  <dc:description>PUBLIC -</dc:description>
  <cp:lastModifiedBy>Jamie Cooke (Aviva UK)</cp:lastModifiedBy>
  <cp:revision>2</cp:revision>
  <cp:lastPrinted>2018-02-23T13:41:00Z</cp:lastPrinted>
  <dcterms:created xsi:type="dcterms:W3CDTF">2018-05-03T07:51:00Z</dcterms:created>
  <dcterms:modified xsi:type="dcterms:W3CDTF">2018-05-03T07:51:00Z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y fmtid="{D5CDD505-2E9C-101B-9397-08002B2CF9AE}" pid="6" name="docIndexRef">
    <vt:lpwstr>3ef99825-5dfc-424d-9409-ee3e4a5ae76c</vt:lpwstr>
  </property>
  <property fmtid="{D5CDD505-2E9C-101B-9397-08002B2CF9AE}" pid="7" name="bjSaver">
    <vt:lpwstr>MELDkMBsiih4zwUhyO0D5611YOmDRxWo</vt:lpwstr>
  </property>
  <property fmtid="{D5CDD505-2E9C-101B-9397-08002B2CF9AE}" pid="8" name="bjDocumentSecurityLabel">
    <vt:lpwstr>Non-Business</vt:lpwstr>
  </property>
  <property fmtid="{D5CDD505-2E9C-101B-9397-08002B2CF9AE}" pid="9" name="bjFooterBothDocProperty">
    <vt:lpwstr>Non-Business_x000d_
 </vt:lpwstr>
  </property>
  <property fmtid="{D5CDD505-2E9C-101B-9397-08002B2CF9AE}" pid="10" name="bjFooterFirstPageDocProperty">
    <vt:lpwstr>Non-Business_x000d_
 </vt:lpwstr>
  </property>
  <property fmtid="{D5CDD505-2E9C-101B-9397-08002B2CF9AE}" pid="11" name="bjFooterEvenPageDocProperty">
    <vt:lpwstr>Non-Business_x000d_
 </vt:lpwstr>
  </property>
  <property fmtid="{D5CDD505-2E9C-101B-9397-08002B2CF9AE}" pid="12" name="TitusGUID">
    <vt:lpwstr>0ef138c8-2d3f-4d2b-b9a1-9d00676c17ab</vt:lpwstr>
  </property>
  <property fmtid="{D5CDD505-2E9C-101B-9397-08002B2CF9AE}" pid="13" name="bjDocumentLabelXML">
    <vt:lpwstr>&lt;?xml version="1.0" encoding="us-ascii"?&gt;&lt;sisl xmlns:xsi="http://www.w3.org/2001/XMLSchema-instance" xmlns:xsd="http://www.w3.org/2001/XMLSchema" sislVersion="0" policy="d837ce2c-d5ff-4523-9e8b-f2f1ecc11bad" origin="defaultValue" xmlns="http://www.boldonj</vt:lpwstr>
  </property>
  <property fmtid="{D5CDD505-2E9C-101B-9397-08002B2CF9AE}" pid="14" name="bjDocumentLabelXML-0">
    <vt:lpwstr>ames.com/2008/01/sie/internal/label"&gt;&lt;element uid="491d0feb-7880-4f13-b762-2f50c2dcacbf" value="" /&gt;&lt;/sisl&gt;</vt:lpwstr>
  </property>
  <property fmtid="{D5CDD505-2E9C-101B-9397-08002B2CF9AE}" pid="15" name="AvivaClassification">
    <vt:lpwstr>Aviva-1nternal</vt:lpwstr>
  </property>
</Properties>
</file>