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A489F" w14:textId="63358AF3" w:rsidR="00504347" w:rsidRPr="00B44023" w:rsidRDefault="002073EF" w:rsidP="00094A76">
      <w:pPr>
        <w:rPr>
          <w:b/>
        </w:rPr>
      </w:pPr>
      <w:bookmarkStart w:id="0" w:name="_GoBack"/>
      <w:bookmarkEnd w:id="0"/>
      <w:r w:rsidRPr="00B44023">
        <w:rPr>
          <w:b/>
        </w:rPr>
        <w:t xml:space="preserve">IFRS 17 </w:t>
      </w:r>
      <w:r w:rsidR="004B62D9" w:rsidRPr="00B44023">
        <w:rPr>
          <w:b/>
        </w:rPr>
        <w:t xml:space="preserve">– </w:t>
      </w:r>
      <w:r w:rsidR="002530B5">
        <w:rPr>
          <w:b/>
        </w:rPr>
        <w:t>i</w:t>
      </w:r>
      <w:r w:rsidR="004B62D9" w:rsidRPr="00B44023">
        <w:rPr>
          <w:b/>
        </w:rPr>
        <w:t>mpact on</w:t>
      </w:r>
      <w:r w:rsidR="00D412B7" w:rsidRPr="00B44023">
        <w:rPr>
          <w:b/>
        </w:rPr>
        <w:t xml:space="preserve"> </w:t>
      </w:r>
      <w:r w:rsidR="002530B5">
        <w:rPr>
          <w:b/>
        </w:rPr>
        <w:t>r</w:t>
      </w:r>
      <w:r w:rsidR="00D412B7" w:rsidRPr="00B44023">
        <w:rPr>
          <w:b/>
        </w:rPr>
        <w:t>einsurance</w:t>
      </w:r>
    </w:p>
    <w:p w14:paraId="55E97BAC" w14:textId="74A690FA" w:rsidR="003D4BB2" w:rsidRDefault="003D4BB2" w:rsidP="00094A76">
      <w:r w:rsidRPr="00D719C2">
        <w:t xml:space="preserve">This article </w:t>
      </w:r>
      <w:r>
        <w:t xml:space="preserve">from the </w:t>
      </w:r>
      <w:r w:rsidRPr="00A21137">
        <w:t xml:space="preserve">IFRS 17: Transversal </w:t>
      </w:r>
      <w:r>
        <w:t>w</w:t>
      </w:r>
      <w:r w:rsidRPr="00A21137">
        <w:t xml:space="preserve">orking </w:t>
      </w:r>
      <w:r>
        <w:t>p</w:t>
      </w:r>
      <w:r w:rsidRPr="00A21137">
        <w:t>arty</w:t>
      </w:r>
      <w:r w:rsidRPr="00D719C2">
        <w:t xml:space="preserve"> introduces some key issues </w:t>
      </w:r>
      <w:r w:rsidR="0052136C">
        <w:t>(re)insurers</w:t>
      </w:r>
      <w:r w:rsidRPr="00D719C2">
        <w:t xml:space="preserve"> may face when implementing IFRS 17 for business</w:t>
      </w:r>
      <w:r w:rsidR="0052136C">
        <w:t xml:space="preserve"> affected by reinsurance</w:t>
      </w:r>
      <w:r w:rsidRPr="00D719C2">
        <w:t>.  The working party intends to explore some of these issues more deeply over the coming months and would be happy to receive feedback from members on topics of particular interest</w:t>
      </w:r>
      <w:r w:rsidR="0052136C">
        <w:t>.</w:t>
      </w:r>
    </w:p>
    <w:p w14:paraId="54211389" w14:textId="0330CE97" w:rsidR="0052136C" w:rsidRPr="0052136C" w:rsidRDefault="0052136C" w:rsidP="00094A76">
      <w:pPr>
        <w:rPr>
          <w:b/>
          <w:szCs w:val="20"/>
        </w:rPr>
      </w:pPr>
      <w:r w:rsidRPr="0052136C">
        <w:rPr>
          <w:b/>
          <w:szCs w:val="20"/>
        </w:rPr>
        <w:t>Requirements of the standard</w:t>
      </w:r>
    </w:p>
    <w:p w14:paraId="0937CCD0" w14:textId="622C95A4" w:rsidR="00952066" w:rsidRDefault="00952066" w:rsidP="00952066">
      <w:pPr>
        <w:rPr>
          <w:szCs w:val="20"/>
        </w:rPr>
      </w:pPr>
      <w:r>
        <w:rPr>
          <w:szCs w:val="20"/>
        </w:rPr>
        <w:t>T</w:t>
      </w:r>
      <w:r w:rsidR="0052136C">
        <w:rPr>
          <w:szCs w:val="20"/>
        </w:rPr>
        <w:t>he IFRS 17 standard</w:t>
      </w:r>
      <w:r>
        <w:rPr>
          <w:szCs w:val="20"/>
        </w:rPr>
        <w:t xml:space="preserve"> has been written primarily from the </w:t>
      </w:r>
      <w:r w:rsidR="00D412B7">
        <w:rPr>
          <w:szCs w:val="20"/>
        </w:rPr>
        <w:t>perspective of a direct writer of insurance</w:t>
      </w:r>
      <w:r w:rsidR="00D319A0">
        <w:rPr>
          <w:szCs w:val="20"/>
        </w:rPr>
        <w:t xml:space="preserve"> business</w:t>
      </w:r>
      <w:r w:rsidR="00D412B7">
        <w:rPr>
          <w:szCs w:val="20"/>
        </w:rPr>
        <w:t>.</w:t>
      </w:r>
      <w:r>
        <w:rPr>
          <w:szCs w:val="20"/>
        </w:rPr>
        <w:t xml:space="preserve"> </w:t>
      </w:r>
      <w:r w:rsidR="00D412B7">
        <w:rPr>
          <w:szCs w:val="20"/>
        </w:rPr>
        <w:t xml:space="preserve"> </w:t>
      </w:r>
      <w:r w:rsidR="0022567A">
        <w:rPr>
          <w:szCs w:val="20"/>
        </w:rPr>
        <w:t>This perspective introduces significant</w:t>
      </w:r>
      <w:r w:rsidR="00447B51">
        <w:rPr>
          <w:szCs w:val="20"/>
        </w:rPr>
        <w:t xml:space="preserve"> interpretation, technical and practical </w:t>
      </w:r>
      <w:r w:rsidR="0022567A">
        <w:rPr>
          <w:szCs w:val="20"/>
        </w:rPr>
        <w:t xml:space="preserve">challenges when considering reinsurance, both </w:t>
      </w:r>
      <w:r w:rsidR="00447B51">
        <w:rPr>
          <w:szCs w:val="20"/>
        </w:rPr>
        <w:t>in terms of</w:t>
      </w:r>
      <w:r>
        <w:rPr>
          <w:szCs w:val="20"/>
        </w:rPr>
        <w:t xml:space="preserve"> reinsurance held and reinsurance issued.</w:t>
      </w:r>
      <w:r w:rsidR="005F6B61">
        <w:rPr>
          <w:szCs w:val="20"/>
        </w:rPr>
        <w:t xml:space="preserve">  </w:t>
      </w:r>
      <w:r w:rsidR="00F83C86">
        <w:rPr>
          <w:szCs w:val="20"/>
        </w:rPr>
        <w:t>Furthermore,</w:t>
      </w:r>
      <w:r w:rsidR="005F6B61">
        <w:rPr>
          <w:szCs w:val="20"/>
        </w:rPr>
        <w:t xml:space="preserve"> th</w:t>
      </w:r>
      <w:r w:rsidR="00457FFB">
        <w:rPr>
          <w:szCs w:val="20"/>
        </w:rPr>
        <w:t>e</w:t>
      </w:r>
      <w:r w:rsidR="005F6B61">
        <w:rPr>
          <w:szCs w:val="20"/>
        </w:rPr>
        <w:t xml:space="preserve"> s</w:t>
      </w:r>
      <w:r>
        <w:rPr>
          <w:szCs w:val="20"/>
        </w:rPr>
        <w:t>pecific rules</w:t>
      </w:r>
      <w:r w:rsidR="005F6B61">
        <w:rPr>
          <w:szCs w:val="20"/>
        </w:rPr>
        <w:t xml:space="preserve"> under IFRS 17 which do </w:t>
      </w:r>
      <w:r>
        <w:rPr>
          <w:szCs w:val="20"/>
        </w:rPr>
        <w:t>relat</w:t>
      </w:r>
      <w:r w:rsidR="005F6B61">
        <w:rPr>
          <w:szCs w:val="20"/>
        </w:rPr>
        <w:t>e</w:t>
      </w:r>
      <w:r>
        <w:rPr>
          <w:szCs w:val="20"/>
        </w:rPr>
        <w:t xml:space="preserve"> to reinsurance may result in inconsistencies between the direct business and associated reinsurance held.</w:t>
      </w:r>
    </w:p>
    <w:p w14:paraId="69EA7577" w14:textId="5F3D2102" w:rsidR="005F6B61" w:rsidRDefault="005F6B61" w:rsidP="00952066">
      <w:pPr>
        <w:rPr>
          <w:szCs w:val="20"/>
        </w:rPr>
      </w:pPr>
      <w:r>
        <w:rPr>
          <w:szCs w:val="20"/>
        </w:rPr>
        <w:t>These key issues are discussed in more detail below</w:t>
      </w:r>
      <w:r w:rsidR="00457FFB">
        <w:rPr>
          <w:szCs w:val="20"/>
        </w:rPr>
        <w:t>:</w:t>
      </w:r>
    </w:p>
    <w:p w14:paraId="34AE557F" w14:textId="60108E9D" w:rsidR="00457FFB" w:rsidRPr="00457FFB" w:rsidRDefault="00ED0FE8" w:rsidP="00952066">
      <w:pPr>
        <w:rPr>
          <w:b/>
          <w:szCs w:val="20"/>
        </w:rPr>
      </w:pPr>
      <w:r>
        <w:rPr>
          <w:b/>
          <w:szCs w:val="20"/>
        </w:rPr>
        <w:t>Contracts</w:t>
      </w:r>
      <w:r w:rsidR="00457FFB" w:rsidRPr="00457FFB">
        <w:rPr>
          <w:b/>
          <w:szCs w:val="20"/>
        </w:rPr>
        <w:t xml:space="preserve"> for reinsurance issued</w:t>
      </w:r>
    </w:p>
    <w:p w14:paraId="6FC5D148" w14:textId="6375AC03" w:rsidR="00457FFB" w:rsidRPr="005F276D" w:rsidRDefault="00457FFB" w:rsidP="00457FFB">
      <w:pPr>
        <w:rPr>
          <w:szCs w:val="20"/>
        </w:rPr>
      </w:pPr>
      <w:r>
        <w:rPr>
          <w:szCs w:val="20"/>
        </w:rPr>
        <w:t xml:space="preserve">One of the fundamental concepts of IFRS 17 is that of the </w:t>
      </w:r>
      <w:r w:rsidRPr="00457FFB">
        <w:rPr>
          <w:szCs w:val="20"/>
        </w:rPr>
        <w:t>"contract".</w:t>
      </w:r>
      <w:r>
        <w:rPr>
          <w:szCs w:val="20"/>
        </w:rPr>
        <w:t xml:space="preserve">  In the context of reinsurance issued, the "contract" could be viewed as the underlying policyholder contract (i.e. the arrangements and obligations between the individual policyholder and the direct insurance company) </w:t>
      </w:r>
      <w:r w:rsidRPr="00457FFB">
        <w:rPr>
          <w:szCs w:val="20"/>
        </w:rPr>
        <w:t>or</w:t>
      </w:r>
      <w:r>
        <w:rPr>
          <w:szCs w:val="20"/>
        </w:rPr>
        <w:t xml:space="preserve"> the reinsurance treaty (i.e. the arrangements and obligations between the direct insurance company and the reinsurance company).  Depending on how issuers of reinsurance interpret this area, related policies will be affected.  </w:t>
      </w:r>
      <w:r w:rsidR="002B3A5C">
        <w:rPr>
          <w:szCs w:val="20"/>
        </w:rPr>
        <w:t>Similarly,</w:t>
      </w:r>
      <w:r>
        <w:rPr>
          <w:szCs w:val="20"/>
        </w:rPr>
        <w:t xml:space="preserve"> any considerations at the treaty level will </w:t>
      </w:r>
      <w:r w:rsidRPr="005F276D">
        <w:rPr>
          <w:szCs w:val="20"/>
        </w:rPr>
        <w:t xml:space="preserve">mean companies need to estimate </w:t>
      </w:r>
      <w:r w:rsidRPr="00457FFB">
        <w:rPr>
          <w:szCs w:val="20"/>
        </w:rPr>
        <w:t>future</w:t>
      </w:r>
      <w:r w:rsidRPr="005F276D">
        <w:rPr>
          <w:szCs w:val="20"/>
        </w:rPr>
        <w:t xml:space="preserve"> new business volumes covered by treaty, which would be a new requirement. </w:t>
      </w:r>
      <w:r>
        <w:rPr>
          <w:szCs w:val="20"/>
        </w:rPr>
        <w:t xml:space="preserve"> </w:t>
      </w:r>
      <w:r w:rsidRPr="005F276D">
        <w:rPr>
          <w:szCs w:val="20"/>
        </w:rPr>
        <w:t xml:space="preserve">This also introduces </w:t>
      </w:r>
      <w:r>
        <w:rPr>
          <w:szCs w:val="20"/>
        </w:rPr>
        <w:t xml:space="preserve">a </w:t>
      </w:r>
      <w:r w:rsidRPr="005F276D">
        <w:rPr>
          <w:szCs w:val="20"/>
        </w:rPr>
        <w:t>mismatch between the measurement of direct insurance (containing only in-force businesses) and the corresponding reinsurance held (also containing future business not yet written).</w:t>
      </w:r>
    </w:p>
    <w:p w14:paraId="7ADF6591" w14:textId="734A9E1B" w:rsidR="00457FFB" w:rsidRDefault="00457FFB" w:rsidP="00457FFB">
      <w:pPr>
        <w:rPr>
          <w:szCs w:val="20"/>
        </w:rPr>
      </w:pPr>
      <w:r w:rsidRPr="005F276D">
        <w:rPr>
          <w:szCs w:val="20"/>
        </w:rPr>
        <w:t>It is common practice for reinsurance treaties to have terms which allow either</w:t>
      </w:r>
      <w:r w:rsidRPr="00610745">
        <w:rPr>
          <w:szCs w:val="20"/>
        </w:rPr>
        <w:t xml:space="preserve"> party to close the treaty to new business by giving 90 days' notice. </w:t>
      </w:r>
      <w:r>
        <w:rPr>
          <w:szCs w:val="20"/>
        </w:rPr>
        <w:t xml:space="preserve"> </w:t>
      </w:r>
      <w:r w:rsidRPr="00610745">
        <w:rPr>
          <w:szCs w:val="20"/>
        </w:rPr>
        <w:t>Th</w:t>
      </w:r>
      <w:r>
        <w:rPr>
          <w:szCs w:val="20"/>
        </w:rPr>
        <w:t>is</w:t>
      </w:r>
      <w:r w:rsidRPr="00610745">
        <w:rPr>
          <w:szCs w:val="20"/>
        </w:rPr>
        <w:t xml:space="preserve"> right to close the treaty to new business creates </w:t>
      </w:r>
      <w:proofErr w:type="gramStart"/>
      <w:r w:rsidRPr="00610745">
        <w:rPr>
          <w:szCs w:val="20"/>
        </w:rPr>
        <w:t>a</w:t>
      </w:r>
      <w:r>
        <w:rPr>
          <w:szCs w:val="20"/>
        </w:rPr>
        <w:t xml:space="preserve"> theoretical </w:t>
      </w:r>
      <w:r w:rsidRPr="00457FFB">
        <w:rPr>
          <w:szCs w:val="20"/>
        </w:rPr>
        <w:t>contract boundary 90 days</w:t>
      </w:r>
      <w:proofErr w:type="gramEnd"/>
      <w:r w:rsidRPr="00457FFB">
        <w:rPr>
          <w:szCs w:val="20"/>
        </w:rPr>
        <w:t xml:space="preserve"> </w:t>
      </w:r>
      <w:r w:rsidR="002B3A5C">
        <w:rPr>
          <w:szCs w:val="20"/>
        </w:rPr>
        <w:t>after</w:t>
      </w:r>
      <w:r w:rsidR="002B3A5C" w:rsidRPr="00610745">
        <w:rPr>
          <w:szCs w:val="20"/>
        </w:rPr>
        <w:t xml:space="preserve"> </w:t>
      </w:r>
      <w:r w:rsidRPr="00610745">
        <w:rPr>
          <w:szCs w:val="20"/>
        </w:rPr>
        <w:t>every financial reporting date.</w:t>
      </w:r>
      <w:r w:rsidRPr="00610745">
        <w:rPr>
          <w:szCs w:val="20"/>
          <w:lang w:val="en-US"/>
        </w:rPr>
        <w:t xml:space="preserve"> </w:t>
      </w:r>
      <w:r>
        <w:rPr>
          <w:szCs w:val="20"/>
          <w:lang w:val="en-US"/>
        </w:rPr>
        <w:t xml:space="preserve"> In turn this raises the question of how to account, at</w:t>
      </w:r>
      <w:r w:rsidRPr="00610745">
        <w:rPr>
          <w:szCs w:val="20"/>
        </w:rPr>
        <w:t xml:space="preserve"> a given reporting date, for the next 90 days' new business when neither party has exercised its right to close the treaty to new business</w:t>
      </w:r>
      <w:r>
        <w:rPr>
          <w:szCs w:val="20"/>
        </w:rPr>
        <w:t xml:space="preserve">.  One option is to interpret every </w:t>
      </w:r>
      <w:r w:rsidR="002B3A5C">
        <w:rPr>
          <w:szCs w:val="20"/>
        </w:rPr>
        <w:t>90-day</w:t>
      </w:r>
      <w:r>
        <w:rPr>
          <w:szCs w:val="20"/>
        </w:rPr>
        <w:t xml:space="preserve"> period as a new contract, which can thus be grouped into annual cohorts.  However, such an approach forces a move to policy rather than treaty issue date based cohorts.</w:t>
      </w:r>
    </w:p>
    <w:p w14:paraId="73849AD8" w14:textId="29B6D60E" w:rsidR="00457FFB" w:rsidRDefault="00457FFB" w:rsidP="00457FFB">
      <w:pPr>
        <w:rPr>
          <w:szCs w:val="20"/>
        </w:rPr>
      </w:pPr>
      <w:r>
        <w:rPr>
          <w:b/>
          <w:szCs w:val="20"/>
        </w:rPr>
        <w:t>Unit of account</w:t>
      </w:r>
      <w:r w:rsidRPr="00457FFB">
        <w:rPr>
          <w:b/>
          <w:szCs w:val="20"/>
        </w:rPr>
        <w:t xml:space="preserve"> for reinsurance issued</w:t>
      </w:r>
    </w:p>
    <w:p w14:paraId="1380CE4E" w14:textId="77777777" w:rsidR="00457FFB" w:rsidRDefault="00457FFB" w:rsidP="00457FFB">
      <w:pPr>
        <w:rPr>
          <w:szCs w:val="20"/>
        </w:rPr>
      </w:pPr>
      <w:r>
        <w:rPr>
          <w:szCs w:val="20"/>
        </w:rPr>
        <w:t xml:space="preserve">Under IFRS 17, </w:t>
      </w:r>
      <w:r w:rsidRPr="00457FFB">
        <w:rPr>
          <w:szCs w:val="20"/>
        </w:rPr>
        <w:t>the unit of account is the</w:t>
      </w:r>
      <w:r>
        <w:rPr>
          <w:szCs w:val="20"/>
        </w:rPr>
        <w:t xml:space="preserve"> contract "group", and is defined by considering:</w:t>
      </w:r>
    </w:p>
    <w:p w14:paraId="4F773923" w14:textId="77777777" w:rsidR="00457FFB" w:rsidRPr="00B44023" w:rsidRDefault="00457FFB" w:rsidP="00457FFB">
      <w:pPr>
        <w:pStyle w:val="ListParagraph"/>
        <w:numPr>
          <w:ilvl w:val="0"/>
          <w:numId w:val="11"/>
        </w:numPr>
        <w:rPr>
          <w:szCs w:val="20"/>
        </w:rPr>
      </w:pPr>
      <w:r w:rsidRPr="00B44023">
        <w:rPr>
          <w:szCs w:val="20"/>
        </w:rPr>
        <w:t xml:space="preserve">"Portfolios", </w:t>
      </w:r>
      <w:r>
        <w:rPr>
          <w:szCs w:val="20"/>
        </w:rPr>
        <w:t xml:space="preserve">meaning </w:t>
      </w:r>
      <w:r w:rsidRPr="00B44023">
        <w:rPr>
          <w:szCs w:val="20"/>
        </w:rPr>
        <w:t>contracts</w:t>
      </w:r>
      <w:r>
        <w:rPr>
          <w:szCs w:val="20"/>
        </w:rPr>
        <w:t xml:space="preserve"> that are subject to</w:t>
      </w:r>
      <w:r w:rsidRPr="00B44023">
        <w:rPr>
          <w:szCs w:val="20"/>
        </w:rPr>
        <w:t xml:space="preserve"> similar risks </w:t>
      </w:r>
      <w:r>
        <w:rPr>
          <w:szCs w:val="20"/>
        </w:rPr>
        <w:t xml:space="preserve">and </w:t>
      </w:r>
      <w:r w:rsidRPr="00B44023">
        <w:rPr>
          <w:szCs w:val="20"/>
        </w:rPr>
        <w:t>managed together;</w:t>
      </w:r>
    </w:p>
    <w:p w14:paraId="2BD7D366" w14:textId="5FA45B7D" w:rsidR="00457FFB" w:rsidRPr="00B44023" w:rsidRDefault="00457FFB" w:rsidP="00457FFB">
      <w:pPr>
        <w:pStyle w:val="ListParagraph"/>
        <w:numPr>
          <w:ilvl w:val="0"/>
          <w:numId w:val="11"/>
        </w:numPr>
        <w:rPr>
          <w:szCs w:val="20"/>
        </w:rPr>
      </w:pPr>
      <w:r w:rsidRPr="00B44023">
        <w:rPr>
          <w:szCs w:val="20"/>
        </w:rPr>
        <w:t>"Onerousness", where portfolios are grouped depending on being either i) onerous</w:t>
      </w:r>
      <w:r w:rsidR="002B3A5C">
        <w:rPr>
          <w:szCs w:val="20"/>
        </w:rPr>
        <w:t xml:space="preserve"> (or loss making)</w:t>
      </w:r>
      <w:r w:rsidRPr="00B44023">
        <w:rPr>
          <w:szCs w:val="20"/>
        </w:rPr>
        <w:t xml:space="preserve"> at initial recognition, ii) at initial recognition have no significant possibility of becoming onerous or iii) remaining portfolios; and</w:t>
      </w:r>
    </w:p>
    <w:p w14:paraId="11D5C82C" w14:textId="77777777" w:rsidR="00457FFB" w:rsidRPr="00B44023" w:rsidRDefault="00457FFB" w:rsidP="00457FFB">
      <w:pPr>
        <w:pStyle w:val="ListParagraph"/>
        <w:numPr>
          <w:ilvl w:val="0"/>
          <w:numId w:val="11"/>
        </w:numPr>
        <w:rPr>
          <w:szCs w:val="20"/>
        </w:rPr>
      </w:pPr>
      <w:r w:rsidRPr="00B44023">
        <w:rPr>
          <w:szCs w:val="20"/>
        </w:rPr>
        <w:t>"Annual cohorts", where contracts in a group must be no more than a year apart.</w:t>
      </w:r>
    </w:p>
    <w:p w14:paraId="34EECD9C" w14:textId="1798E384" w:rsidR="00457FFB" w:rsidRDefault="00457FFB" w:rsidP="00457FFB">
      <w:pPr>
        <w:rPr>
          <w:szCs w:val="20"/>
        </w:rPr>
      </w:pPr>
      <w:r>
        <w:rPr>
          <w:szCs w:val="20"/>
        </w:rPr>
        <w:t xml:space="preserve">In the context of reinsurance issued, this can introduce the apparent anomaly of grouping risks which are not managed together (for instance, a reinsurance contract may cover both life and health protection business which are managed separately, but which could be grouped together in the same portfolio).  Furthermore, the </w:t>
      </w:r>
      <w:r w:rsidRPr="00457FFB">
        <w:rPr>
          <w:szCs w:val="20"/>
        </w:rPr>
        <w:t>notion of annual cohorts may ha</w:t>
      </w:r>
      <w:r>
        <w:rPr>
          <w:szCs w:val="20"/>
        </w:rPr>
        <w:t xml:space="preserve">ve implications for the commercial practice of the reinsurance model, in order to avoid unsustainable data requirements.  </w:t>
      </w:r>
      <w:r>
        <w:rPr>
          <w:szCs w:val="20"/>
        </w:rPr>
        <w:lastRenderedPageBreak/>
        <w:t>An example of this could be moving to the practice of renegotiating reinsurance treaties on a calendar year basis.</w:t>
      </w:r>
    </w:p>
    <w:p w14:paraId="0BCA57C4" w14:textId="5F8C32DA" w:rsidR="00457FFB" w:rsidRPr="000C5E82" w:rsidRDefault="0037689B" w:rsidP="00094A76">
      <w:pPr>
        <w:rPr>
          <w:b/>
          <w:szCs w:val="20"/>
        </w:rPr>
      </w:pPr>
      <w:r w:rsidRPr="000C5E82">
        <w:rPr>
          <w:b/>
          <w:szCs w:val="20"/>
        </w:rPr>
        <w:t>Cash flow as</w:t>
      </w:r>
      <w:r w:rsidR="000C5E82" w:rsidRPr="000C5E82">
        <w:rPr>
          <w:b/>
          <w:szCs w:val="20"/>
        </w:rPr>
        <w:t>ymmetries for reinsurance held</w:t>
      </w:r>
    </w:p>
    <w:p w14:paraId="4461076D" w14:textId="10A05DB5" w:rsidR="000C5E82" w:rsidRDefault="000C5E82" w:rsidP="00094A76">
      <w:pPr>
        <w:rPr>
          <w:szCs w:val="20"/>
        </w:rPr>
      </w:pPr>
      <w:r>
        <w:rPr>
          <w:szCs w:val="20"/>
        </w:rPr>
        <w:t>The</w:t>
      </w:r>
      <w:r w:rsidR="00094A76">
        <w:rPr>
          <w:szCs w:val="20"/>
        </w:rPr>
        <w:t xml:space="preserve"> separate valuation of direct and ceded business may lead to </w:t>
      </w:r>
      <w:r w:rsidR="00094A76" w:rsidRPr="000C5E82">
        <w:rPr>
          <w:szCs w:val="20"/>
        </w:rPr>
        <w:t>asymmetries</w:t>
      </w:r>
      <w:r w:rsidR="00094A76">
        <w:rPr>
          <w:szCs w:val="20"/>
        </w:rPr>
        <w:t xml:space="preserve"> between the two cash</w:t>
      </w:r>
      <w:r>
        <w:rPr>
          <w:szCs w:val="20"/>
        </w:rPr>
        <w:t xml:space="preserve"> </w:t>
      </w:r>
      <w:r w:rsidR="00094A76">
        <w:rPr>
          <w:szCs w:val="20"/>
        </w:rPr>
        <w:t xml:space="preserve">flows which do </w:t>
      </w:r>
      <w:r w:rsidR="00094A76" w:rsidRPr="005F276D">
        <w:rPr>
          <w:szCs w:val="20"/>
        </w:rPr>
        <w:t xml:space="preserve">not exist today. </w:t>
      </w:r>
      <w:r>
        <w:rPr>
          <w:szCs w:val="20"/>
        </w:rPr>
        <w:t xml:space="preserve"> </w:t>
      </w:r>
      <w:r w:rsidR="00094A76" w:rsidRPr="005F276D">
        <w:rPr>
          <w:szCs w:val="20"/>
        </w:rPr>
        <w:t xml:space="preserve">For example, the discount rate to use for the Best Estimate Liabilities </w:t>
      </w:r>
      <w:r w:rsidR="00280F07" w:rsidRPr="005F276D">
        <w:rPr>
          <w:szCs w:val="20"/>
        </w:rPr>
        <w:t>c</w:t>
      </w:r>
      <w:r w:rsidR="00094A76" w:rsidRPr="005F276D">
        <w:rPr>
          <w:szCs w:val="20"/>
        </w:rPr>
        <w:t xml:space="preserve">ould be assessed separately and the risk adjustment </w:t>
      </w:r>
      <w:r w:rsidR="00280F07" w:rsidRPr="005F276D">
        <w:rPr>
          <w:szCs w:val="20"/>
        </w:rPr>
        <w:t>c</w:t>
      </w:r>
      <w:r w:rsidR="00094A76" w:rsidRPr="005F276D">
        <w:rPr>
          <w:szCs w:val="20"/>
        </w:rPr>
        <w:t>ould be calculated separately.</w:t>
      </w:r>
      <w:r>
        <w:rPr>
          <w:szCs w:val="20"/>
        </w:rPr>
        <w:t xml:space="preserve"> </w:t>
      </w:r>
      <w:r w:rsidR="00094A76" w:rsidRPr="005F276D">
        <w:rPr>
          <w:szCs w:val="20"/>
        </w:rPr>
        <w:t xml:space="preserve"> </w:t>
      </w:r>
      <w:r w:rsidR="002B3A5C" w:rsidRPr="005F276D">
        <w:rPr>
          <w:szCs w:val="20"/>
        </w:rPr>
        <w:t>Furthermore,</w:t>
      </w:r>
      <w:r w:rsidR="00F066F5" w:rsidRPr="005F276D">
        <w:rPr>
          <w:szCs w:val="20"/>
        </w:rPr>
        <w:t xml:space="preserve"> </w:t>
      </w:r>
      <w:r w:rsidR="00F066F5" w:rsidRPr="000C5E82">
        <w:rPr>
          <w:szCs w:val="20"/>
        </w:rPr>
        <w:t>the Variable Fee Approach, whilst</w:t>
      </w:r>
      <w:r w:rsidR="00F066F5" w:rsidRPr="005F276D">
        <w:rPr>
          <w:szCs w:val="20"/>
        </w:rPr>
        <w:t xml:space="preserve"> permissible on certain gross business, is not allowed for the associated reinsurance </w:t>
      </w:r>
      <w:r w:rsidR="008C2FA4">
        <w:rPr>
          <w:szCs w:val="20"/>
        </w:rPr>
        <w:t>held</w:t>
      </w:r>
      <w:r w:rsidR="00F066F5">
        <w:rPr>
          <w:szCs w:val="20"/>
        </w:rPr>
        <w:t>.</w:t>
      </w:r>
    </w:p>
    <w:p w14:paraId="3ECE7024" w14:textId="2C16FDD4" w:rsidR="000C5E82" w:rsidRPr="000C5E82" w:rsidRDefault="000C5E82" w:rsidP="00094A76">
      <w:pPr>
        <w:rPr>
          <w:b/>
          <w:szCs w:val="20"/>
        </w:rPr>
      </w:pPr>
      <w:r w:rsidRPr="000C5E82">
        <w:rPr>
          <w:b/>
          <w:szCs w:val="20"/>
        </w:rPr>
        <w:t>C</w:t>
      </w:r>
      <w:r w:rsidR="002B3A5C">
        <w:rPr>
          <w:b/>
          <w:szCs w:val="20"/>
        </w:rPr>
        <w:t xml:space="preserve">ontractual </w:t>
      </w:r>
      <w:r w:rsidRPr="000C5E82">
        <w:rPr>
          <w:b/>
          <w:szCs w:val="20"/>
        </w:rPr>
        <w:t>S</w:t>
      </w:r>
      <w:r w:rsidR="002B3A5C">
        <w:rPr>
          <w:b/>
          <w:szCs w:val="20"/>
        </w:rPr>
        <w:t xml:space="preserve">ervice </w:t>
      </w:r>
      <w:r w:rsidRPr="000C5E82">
        <w:rPr>
          <w:b/>
          <w:szCs w:val="20"/>
        </w:rPr>
        <w:t>M</w:t>
      </w:r>
      <w:r w:rsidR="002B3A5C">
        <w:rPr>
          <w:b/>
          <w:szCs w:val="20"/>
        </w:rPr>
        <w:t>argin (</w:t>
      </w:r>
      <w:r w:rsidR="00CD649A">
        <w:rPr>
          <w:b/>
          <w:szCs w:val="20"/>
        </w:rPr>
        <w:t>“</w:t>
      </w:r>
      <w:r w:rsidR="002B3A5C">
        <w:rPr>
          <w:b/>
          <w:szCs w:val="20"/>
        </w:rPr>
        <w:t>CSM</w:t>
      </w:r>
      <w:r w:rsidR="00CD649A">
        <w:rPr>
          <w:b/>
          <w:szCs w:val="20"/>
        </w:rPr>
        <w:t>”</w:t>
      </w:r>
      <w:r w:rsidR="002B3A5C">
        <w:rPr>
          <w:b/>
          <w:szCs w:val="20"/>
        </w:rPr>
        <w:t>)</w:t>
      </w:r>
      <w:r w:rsidRPr="000C5E82">
        <w:rPr>
          <w:b/>
          <w:szCs w:val="20"/>
        </w:rPr>
        <w:t xml:space="preserve"> for reinsurance held</w:t>
      </w:r>
    </w:p>
    <w:p w14:paraId="1AE64DBC" w14:textId="2111E6DC" w:rsidR="00094A76" w:rsidRDefault="000C5E82" w:rsidP="00094A76">
      <w:pPr>
        <w:rPr>
          <w:szCs w:val="20"/>
        </w:rPr>
      </w:pPr>
      <w:r>
        <w:rPr>
          <w:szCs w:val="20"/>
        </w:rPr>
        <w:t>T</w:t>
      </w:r>
      <w:r w:rsidR="00094A76">
        <w:rPr>
          <w:szCs w:val="20"/>
        </w:rPr>
        <w:t xml:space="preserve">he </w:t>
      </w:r>
      <w:r w:rsidR="00094A76" w:rsidRPr="00D701F8">
        <w:rPr>
          <w:szCs w:val="20"/>
        </w:rPr>
        <w:t>CSM</w:t>
      </w:r>
      <w:r w:rsidR="00094A76">
        <w:rPr>
          <w:szCs w:val="20"/>
        </w:rPr>
        <w:t xml:space="preserve"> exists for both direct and ceded business, however there </w:t>
      </w:r>
      <w:r w:rsidR="00280F07">
        <w:rPr>
          <w:szCs w:val="20"/>
        </w:rPr>
        <w:t>could be</w:t>
      </w:r>
      <w:r w:rsidR="00094A76">
        <w:rPr>
          <w:szCs w:val="20"/>
        </w:rPr>
        <w:t xml:space="preserve"> some difference in how they are valued. </w:t>
      </w:r>
      <w:r>
        <w:rPr>
          <w:szCs w:val="20"/>
        </w:rPr>
        <w:t xml:space="preserve"> </w:t>
      </w:r>
      <w:r w:rsidR="00094A76">
        <w:rPr>
          <w:szCs w:val="20"/>
        </w:rPr>
        <w:t>For direct business, the CSM can only be positive (</w:t>
      </w:r>
      <w:r>
        <w:rPr>
          <w:szCs w:val="20"/>
        </w:rPr>
        <w:t>l</w:t>
      </w:r>
      <w:r w:rsidR="00094A76">
        <w:rPr>
          <w:szCs w:val="20"/>
        </w:rPr>
        <w:t xml:space="preserve">oss making direct contracts do not have a CSM, with the loss being </w:t>
      </w:r>
      <w:r w:rsidR="002B3A5C">
        <w:rPr>
          <w:szCs w:val="20"/>
        </w:rPr>
        <w:t xml:space="preserve">recognised </w:t>
      </w:r>
      <w:r w:rsidR="00094A76">
        <w:rPr>
          <w:szCs w:val="20"/>
        </w:rPr>
        <w:t xml:space="preserve">in the income statement at </w:t>
      </w:r>
      <w:r w:rsidR="002B3A5C">
        <w:rPr>
          <w:szCs w:val="20"/>
        </w:rPr>
        <w:t xml:space="preserve">contract </w:t>
      </w:r>
      <w:r w:rsidR="00094A76">
        <w:rPr>
          <w:szCs w:val="20"/>
        </w:rPr>
        <w:t>inception</w:t>
      </w:r>
      <w:r>
        <w:rPr>
          <w:szCs w:val="20"/>
        </w:rPr>
        <w:t>)</w:t>
      </w:r>
      <w:r w:rsidR="00094A76">
        <w:rPr>
          <w:szCs w:val="20"/>
        </w:rPr>
        <w:t xml:space="preserve">. </w:t>
      </w:r>
      <w:r>
        <w:rPr>
          <w:szCs w:val="20"/>
        </w:rPr>
        <w:t xml:space="preserve"> </w:t>
      </w:r>
      <w:r w:rsidR="00094A76">
        <w:rPr>
          <w:szCs w:val="20"/>
        </w:rPr>
        <w:t xml:space="preserve">For reinsurance contracts held, the CSM </w:t>
      </w:r>
      <w:r w:rsidR="002B3A5C">
        <w:rPr>
          <w:szCs w:val="20"/>
        </w:rPr>
        <w:t xml:space="preserve">can </w:t>
      </w:r>
      <w:r w:rsidR="00280F07">
        <w:rPr>
          <w:szCs w:val="20"/>
        </w:rPr>
        <w:t xml:space="preserve">be </w:t>
      </w:r>
      <w:r w:rsidR="00094A76">
        <w:rPr>
          <w:szCs w:val="20"/>
        </w:rPr>
        <w:t>either positive (i.e. the reinsurance contract held is at a net gain for the insurer) or negative (</w:t>
      </w:r>
      <w:r w:rsidR="002B3A5C">
        <w:rPr>
          <w:szCs w:val="20"/>
        </w:rPr>
        <w:t xml:space="preserve">i.e. a </w:t>
      </w:r>
      <w:r w:rsidR="00094A76">
        <w:rPr>
          <w:szCs w:val="20"/>
        </w:rPr>
        <w:t xml:space="preserve">net loss reinsurance). </w:t>
      </w:r>
      <w:r>
        <w:rPr>
          <w:szCs w:val="20"/>
        </w:rPr>
        <w:t xml:space="preserve"> Whilst the June 2019 IASB Exposure Draft seeks to address this inconsistency for proportional reinsurance held, it remains an area of challenge and discussion.</w:t>
      </w:r>
    </w:p>
    <w:p w14:paraId="2A5CAE57" w14:textId="16D76F57" w:rsidR="0057602A" w:rsidRDefault="0057602A" w:rsidP="00094A76">
      <w:pPr>
        <w:rPr>
          <w:szCs w:val="20"/>
        </w:rPr>
      </w:pPr>
      <w:r>
        <w:rPr>
          <w:szCs w:val="20"/>
        </w:rPr>
        <w:t xml:space="preserve">The </w:t>
      </w:r>
      <w:r w:rsidR="009E3921">
        <w:rPr>
          <w:szCs w:val="20"/>
        </w:rPr>
        <w:t xml:space="preserve">calculation of the CSM is further complicated when </w:t>
      </w:r>
      <w:r w:rsidR="009E3921" w:rsidRPr="000C5E82">
        <w:rPr>
          <w:szCs w:val="20"/>
        </w:rPr>
        <w:t>mapping</w:t>
      </w:r>
      <w:r w:rsidR="009E3921">
        <w:rPr>
          <w:szCs w:val="20"/>
        </w:rPr>
        <w:t xml:space="preserve"> the result between the gross and the ceded business with </w:t>
      </w:r>
      <w:r w:rsidR="002B3A5C">
        <w:rPr>
          <w:szCs w:val="20"/>
        </w:rPr>
        <w:t>“</w:t>
      </w:r>
      <w:r w:rsidR="009E3921">
        <w:rPr>
          <w:szCs w:val="20"/>
        </w:rPr>
        <w:t>one:one</w:t>
      </w:r>
      <w:r w:rsidR="002B3A5C">
        <w:rPr>
          <w:szCs w:val="20"/>
        </w:rPr>
        <w:t>”</w:t>
      </w:r>
      <w:r w:rsidR="009E3921">
        <w:rPr>
          <w:szCs w:val="20"/>
        </w:rPr>
        <w:t xml:space="preserve">, </w:t>
      </w:r>
      <w:r w:rsidR="002B3A5C">
        <w:rPr>
          <w:szCs w:val="20"/>
        </w:rPr>
        <w:t>“</w:t>
      </w:r>
      <w:r w:rsidR="009E3921">
        <w:rPr>
          <w:szCs w:val="20"/>
        </w:rPr>
        <w:t>one:many</w:t>
      </w:r>
      <w:r w:rsidR="002B3A5C">
        <w:rPr>
          <w:szCs w:val="20"/>
        </w:rPr>
        <w:t>”</w:t>
      </w:r>
      <w:r w:rsidR="009E3921">
        <w:rPr>
          <w:szCs w:val="20"/>
        </w:rPr>
        <w:t xml:space="preserve">, </w:t>
      </w:r>
      <w:r w:rsidR="002B3A5C">
        <w:rPr>
          <w:szCs w:val="20"/>
        </w:rPr>
        <w:t>“</w:t>
      </w:r>
      <w:r w:rsidR="009E3921">
        <w:rPr>
          <w:szCs w:val="20"/>
        </w:rPr>
        <w:t>many:one</w:t>
      </w:r>
      <w:r w:rsidR="002B3A5C">
        <w:rPr>
          <w:szCs w:val="20"/>
        </w:rPr>
        <w:t>”</w:t>
      </w:r>
      <w:r w:rsidR="009E3921">
        <w:rPr>
          <w:szCs w:val="20"/>
        </w:rPr>
        <w:t xml:space="preserve"> etc</w:t>
      </w:r>
      <w:r w:rsidR="002B3A5C">
        <w:rPr>
          <w:szCs w:val="20"/>
        </w:rPr>
        <w:t>.</w:t>
      </w:r>
      <w:r w:rsidR="009E3921">
        <w:rPr>
          <w:szCs w:val="20"/>
        </w:rPr>
        <w:t xml:space="preserve"> options available.</w:t>
      </w:r>
      <w:r w:rsidR="000C5E82">
        <w:rPr>
          <w:szCs w:val="20"/>
        </w:rPr>
        <w:t xml:space="preserve">  Finally, the rate at which the CSM accretes interest may also be determined separately.</w:t>
      </w:r>
    </w:p>
    <w:p w14:paraId="2D20790B" w14:textId="040B6D01" w:rsidR="00094A76" w:rsidRPr="000C5E82" w:rsidRDefault="000C5E82" w:rsidP="00094A76">
      <w:pPr>
        <w:rPr>
          <w:b/>
          <w:szCs w:val="20"/>
        </w:rPr>
      </w:pPr>
      <w:r w:rsidRPr="000C5E82">
        <w:rPr>
          <w:b/>
          <w:szCs w:val="20"/>
        </w:rPr>
        <w:t>Other considerations</w:t>
      </w:r>
    </w:p>
    <w:p w14:paraId="20B8F614" w14:textId="02CD506B" w:rsidR="000C5E82" w:rsidRPr="000C5E82" w:rsidRDefault="00184F2F" w:rsidP="000C5E82">
      <w:pPr>
        <w:rPr>
          <w:szCs w:val="20"/>
        </w:rPr>
      </w:pPr>
      <w:r>
        <w:rPr>
          <w:szCs w:val="20"/>
        </w:rPr>
        <w:t xml:space="preserve">For many UK insurers, </w:t>
      </w:r>
      <w:r w:rsidR="000C5E82">
        <w:rPr>
          <w:szCs w:val="20"/>
        </w:rPr>
        <w:t>whil</w:t>
      </w:r>
      <w:r w:rsidR="006417FA">
        <w:rPr>
          <w:szCs w:val="20"/>
        </w:rPr>
        <w:t>st</w:t>
      </w:r>
      <w:r w:rsidR="000C5E82">
        <w:rPr>
          <w:szCs w:val="20"/>
        </w:rPr>
        <w:t xml:space="preserve"> granular data and appropriate methodologies</w:t>
      </w:r>
      <w:r w:rsidR="006417FA">
        <w:rPr>
          <w:szCs w:val="20"/>
        </w:rPr>
        <w:t xml:space="preserve"> are used to value the direct business</w:t>
      </w:r>
      <w:r w:rsidR="000C5E82">
        <w:rPr>
          <w:szCs w:val="20"/>
        </w:rPr>
        <w:t xml:space="preserve">, typically approximations </w:t>
      </w:r>
      <w:r w:rsidR="006417FA">
        <w:rPr>
          <w:szCs w:val="20"/>
        </w:rPr>
        <w:t xml:space="preserve">are made </w:t>
      </w:r>
      <w:r w:rsidR="000C5E82">
        <w:rPr>
          <w:szCs w:val="20"/>
        </w:rPr>
        <w:t>to produce the reinsurance</w:t>
      </w:r>
      <w:r w:rsidR="006417FA">
        <w:rPr>
          <w:szCs w:val="20"/>
        </w:rPr>
        <w:t xml:space="preserve"> held</w:t>
      </w:r>
      <w:r w:rsidR="000C5E82">
        <w:rPr>
          <w:szCs w:val="20"/>
        </w:rPr>
        <w:t xml:space="preserve"> results. </w:t>
      </w:r>
      <w:r w:rsidR="006417FA">
        <w:rPr>
          <w:szCs w:val="20"/>
        </w:rPr>
        <w:t xml:space="preserve"> </w:t>
      </w:r>
      <w:r w:rsidR="000C5E82">
        <w:rPr>
          <w:szCs w:val="20"/>
        </w:rPr>
        <w:t xml:space="preserve">This simplified approach will not be acceptable </w:t>
      </w:r>
      <w:r w:rsidR="000C5E82" w:rsidRPr="000C5E82">
        <w:rPr>
          <w:szCs w:val="20"/>
        </w:rPr>
        <w:t xml:space="preserve">under IFRS 17. </w:t>
      </w:r>
      <w:r w:rsidR="006417FA">
        <w:rPr>
          <w:szCs w:val="20"/>
        </w:rPr>
        <w:t xml:space="preserve"> </w:t>
      </w:r>
      <w:r w:rsidR="000C5E82" w:rsidRPr="000C5E82">
        <w:rPr>
          <w:szCs w:val="20"/>
        </w:rPr>
        <w:t>Where the reinsurance result could previously be simplified to be Gross result minus Net result, this will no longer be the case.</w:t>
      </w:r>
      <w:r w:rsidR="006417FA">
        <w:rPr>
          <w:szCs w:val="20"/>
        </w:rPr>
        <w:t xml:space="preserve"> </w:t>
      </w:r>
      <w:r w:rsidR="000C5E82" w:rsidRPr="000C5E82">
        <w:rPr>
          <w:szCs w:val="20"/>
        </w:rPr>
        <w:t xml:space="preserve"> Subsequently, we expect operational challenges in valuing and reporting reinsurance contracts held.</w:t>
      </w:r>
    </w:p>
    <w:p w14:paraId="025CA0ED" w14:textId="75F7CE52" w:rsidR="000C5E82" w:rsidRPr="000C5E82" w:rsidRDefault="000C5E82" w:rsidP="000C5E82">
      <w:pPr>
        <w:rPr>
          <w:szCs w:val="20"/>
        </w:rPr>
      </w:pPr>
      <w:r w:rsidRPr="000C5E82">
        <w:rPr>
          <w:szCs w:val="20"/>
        </w:rPr>
        <w:t xml:space="preserve">The considerations listed herein will equally apply to intragroup reinsurance. </w:t>
      </w:r>
      <w:r w:rsidR="008C2FA4">
        <w:rPr>
          <w:szCs w:val="20"/>
        </w:rPr>
        <w:t xml:space="preserve"> </w:t>
      </w:r>
      <w:r w:rsidRPr="000C5E82">
        <w:rPr>
          <w:szCs w:val="20"/>
        </w:rPr>
        <w:t>Hence circumstances may arise where there is no issue for Group level reporting, but complications at the sub-entity level.</w:t>
      </w:r>
    </w:p>
    <w:p w14:paraId="515699F1" w14:textId="0EF5B5EC" w:rsidR="000C5E82" w:rsidRDefault="000C5E82" w:rsidP="000C5E82">
      <w:pPr>
        <w:rPr>
          <w:szCs w:val="20"/>
        </w:rPr>
      </w:pPr>
      <w:r w:rsidRPr="000C5E82">
        <w:rPr>
          <w:szCs w:val="20"/>
        </w:rPr>
        <w:t xml:space="preserve">Finally, from the perspective of the direct writer, it is a common requirement to hold capital against the risk of a reinsurer default. </w:t>
      </w:r>
      <w:r w:rsidR="006417FA">
        <w:rPr>
          <w:szCs w:val="20"/>
        </w:rPr>
        <w:t xml:space="preserve"> </w:t>
      </w:r>
      <w:r w:rsidRPr="000C5E82">
        <w:rPr>
          <w:szCs w:val="20"/>
        </w:rPr>
        <w:t>The calculation of the capital required will vary by local statutory jurisdictions and may well be influenced by the accounting</w:t>
      </w:r>
      <w:r>
        <w:rPr>
          <w:szCs w:val="20"/>
        </w:rPr>
        <w:t xml:space="preserve"> value placed on the reinsurance asset.</w:t>
      </w:r>
      <w:r w:rsidR="006417FA">
        <w:rPr>
          <w:szCs w:val="20"/>
        </w:rPr>
        <w:t xml:space="preserve"> </w:t>
      </w:r>
      <w:r>
        <w:rPr>
          <w:szCs w:val="20"/>
        </w:rPr>
        <w:t xml:space="preserve"> Hence the changes introduced by IFRS 17 may well impact statutory as well as economic valuations</w:t>
      </w:r>
      <w:r w:rsidR="006417FA">
        <w:rPr>
          <w:szCs w:val="20"/>
        </w:rPr>
        <w:t>.</w:t>
      </w:r>
    </w:p>
    <w:p w14:paraId="35D20040" w14:textId="18D414EA" w:rsidR="007E39F4" w:rsidRPr="006417FA" w:rsidRDefault="006417FA" w:rsidP="00094A76">
      <w:pPr>
        <w:rPr>
          <w:b/>
          <w:szCs w:val="20"/>
        </w:rPr>
      </w:pPr>
      <w:r w:rsidRPr="006417FA">
        <w:rPr>
          <w:b/>
          <w:szCs w:val="20"/>
        </w:rPr>
        <w:t>Summary</w:t>
      </w:r>
    </w:p>
    <w:p w14:paraId="69966F3F" w14:textId="4E72153A" w:rsidR="00AA2880" w:rsidRDefault="004119BE" w:rsidP="006417FA">
      <w:pPr>
        <w:rPr>
          <w:szCs w:val="20"/>
        </w:rPr>
      </w:pPr>
      <w:r>
        <w:rPr>
          <w:szCs w:val="20"/>
        </w:rPr>
        <w:t xml:space="preserve">Given the complexities of the standard, there will be significant technical and operational implications for </w:t>
      </w:r>
      <w:r w:rsidR="009D115A">
        <w:rPr>
          <w:szCs w:val="20"/>
        </w:rPr>
        <w:t xml:space="preserve">firms reporting IFRS 17 </w:t>
      </w:r>
      <w:r w:rsidR="001903E7">
        <w:rPr>
          <w:szCs w:val="20"/>
        </w:rPr>
        <w:t xml:space="preserve">and </w:t>
      </w:r>
      <w:r>
        <w:rPr>
          <w:szCs w:val="20"/>
        </w:rPr>
        <w:t xml:space="preserve">affected by reinsurance. </w:t>
      </w:r>
      <w:r w:rsidR="006417FA">
        <w:rPr>
          <w:szCs w:val="20"/>
        </w:rPr>
        <w:t xml:space="preserve"> </w:t>
      </w:r>
      <w:r>
        <w:rPr>
          <w:szCs w:val="20"/>
        </w:rPr>
        <w:t>More</w:t>
      </w:r>
      <w:r w:rsidR="006C011C">
        <w:rPr>
          <w:szCs w:val="20"/>
        </w:rPr>
        <w:t xml:space="preserve"> generally</w:t>
      </w:r>
      <w:r>
        <w:rPr>
          <w:szCs w:val="20"/>
        </w:rPr>
        <w:t xml:space="preserve">, there remains a great deal of uncertainly on the economic value of reinsurance </w:t>
      </w:r>
      <w:r w:rsidR="001903E7">
        <w:rPr>
          <w:szCs w:val="20"/>
        </w:rPr>
        <w:t>with</w:t>
      </w:r>
      <w:r>
        <w:rPr>
          <w:szCs w:val="20"/>
        </w:rPr>
        <w:t xml:space="preserve">in </w:t>
      </w:r>
      <w:r w:rsidR="001903E7">
        <w:rPr>
          <w:szCs w:val="20"/>
        </w:rPr>
        <w:t xml:space="preserve">the </w:t>
      </w:r>
      <w:r>
        <w:rPr>
          <w:szCs w:val="20"/>
        </w:rPr>
        <w:t>IFRS</w:t>
      </w:r>
      <w:r w:rsidR="008C2FA4">
        <w:rPr>
          <w:szCs w:val="20"/>
        </w:rPr>
        <w:t xml:space="preserve"> </w:t>
      </w:r>
      <w:r>
        <w:rPr>
          <w:szCs w:val="20"/>
        </w:rPr>
        <w:t>17 accounting framework.</w:t>
      </w:r>
    </w:p>
    <w:p w14:paraId="627E0770" w14:textId="4F5BE318" w:rsidR="002B3A5C" w:rsidRDefault="002B3A5C" w:rsidP="002B3A5C">
      <w:pPr>
        <w:pStyle w:val="ListParagraph"/>
        <w:ind w:left="0"/>
        <w:jc w:val="both"/>
      </w:pPr>
      <w:r>
        <w:t>Further articles from the IFRS 17: Transversal Working Party will discuss these and other with-profits issues further, see</w:t>
      </w:r>
      <w:r w:rsidR="008C44BE">
        <w:t xml:space="preserve"> </w:t>
      </w:r>
      <w:bookmarkStart w:id="1" w:name="_Hlk22036945"/>
      <w:r>
        <w:fldChar w:fldCharType="begin"/>
      </w:r>
      <w:r w:rsidR="008C44BE">
        <w:instrText>HYPERLINK "https://www.actuaries.org.uk/practice-areas/life/research-working-parties/ifrs-17-transversal"</w:instrText>
      </w:r>
      <w:r>
        <w:fldChar w:fldCharType="separate"/>
      </w:r>
      <w:r w:rsidR="008C44BE">
        <w:rPr>
          <w:rStyle w:val="Hyperlink"/>
        </w:rPr>
        <w:t>https://www.actuaries.org.uk/practice-areas/life/research-working-parties/ifrs-17-transversal</w:t>
      </w:r>
      <w:r>
        <w:fldChar w:fldCharType="end"/>
      </w:r>
      <w:bookmarkEnd w:id="1"/>
      <w:r>
        <w:rPr>
          <w:color w:val="4472C4" w:themeColor="accent1"/>
        </w:rPr>
        <w:t xml:space="preserve"> </w:t>
      </w:r>
      <w:r>
        <w:t xml:space="preserve">for details.  </w:t>
      </w:r>
    </w:p>
    <w:p w14:paraId="67A53CC9" w14:textId="77777777" w:rsidR="002B3A5C" w:rsidRDefault="002B3A5C" w:rsidP="006417FA">
      <w:pPr>
        <w:rPr>
          <w:szCs w:val="20"/>
        </w:rPr>
      </w:pPr>
    </w:p>
    <w:sectPr w:rsidR="002B3A5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A6376" w14:textId="77777777" w:rsidR="006E7163" w:rsidRDefault="006E7163" w:rsidP="002073EF">
      <w:pPr>
        <w:spacing w:after="0" w:line="240" w:lineRule="auto"/>
      </w:pPr>
      <w:r>
        <w:separator/>
      </w:r>
    </w:p>
  </w:endnote>
  <w:endnote w:type="continuationSeparator" w:id="0">
    <w:p w14:paraId="5CD28A8A" w14:textId="77777777" w:rsidR="006E7163" w:rsidRDefault="006E7163" w:rsidP="002073EF">
      <w:pPr>
        <w:spacing w:after="0" w:line="240" w:lineRule="auto"/>
      </w:pPr>
      <w:r>
        <w:continuationSeparator/>
      </w:r>
    </w:p>
  </w:endnote>
  <w:endnote w:type="continuationNotice" w:id="1">
    <w:p w14:paraId="39A88F77" w14:textId="77777777" w:rsidR="006E7163" w:rsidRDefault="006E71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33481" w14:textId="77777777" w:rsidR="008E2C77" w:rsidRDefault="008E2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F9A30" w14:textId="77777777" w:rsidR="004D288F" w:rsidRDefault="004D28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A1A54" w14:textId="77777777" w:rsidR="008E2C77" w:rsidRDefault="008E2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BEB8D" w14:textId="77777777" w:rsidR="006E7163" w:rsidRDefault="006E7163" w:rsidP="002073EF">
      <w:pPr>
        <w:spacing w:after="0" w:line="240" w:lineRule="auto"/>
      </w:pPr>
      <w:r>
        <w:separator/>
      </w:r>
    </w:p>
  </w:footnote>
  <w:footnote w:type="continuationSeparator" w:id="0">
    <w:p w14:paraId="7721D29B" w14:textId="77777777" w:rsidR="006E7163" w:rsidRDefault="006E7163" w:rsidP="002073EF">
      <w:pPr>
        <w:spacing w:after="0" w:line="240" w:lineRule="auto"/>
      </w:pPr>
      <w:r>
        <w:continuationSeparator/>
      </w:r>
    </w:p>
  </w:footnote>
  <w:footnote w:type="continuationNotice" w:id="1">
    <w:p w14:paraId="0857DD83" w14:textId="77777777" w:rsidR="006E7163" w:rsidRDefault="006E71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B9E75" w14:textId="77777777" w:rsidR="008E2C77" w:rsidRDefault="008E2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93805" w14:textId="77777777" w:rsidR="004D288F" w:rsidRDefault="004D28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5944A" w14:textId="77777777" w:rsidR="008E2C77" w:rsidRDefault="008E2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51E9"/>
    <w:multiLevelType w:val="hybridMultilevel"/>
    <w:tmpl w:val="9EFCB338"/>
    <w:lvl w:ilvl="0" w:tplc="B18A7A4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D7790"/>
    <w:multiLevelType w:val="hybridMultilevel"/>
    <w:tmpl w:val="F8B49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143C30"/>
    <w:multiLevelType w:val="hybridMultilevel"/>
    <w:tmpl w:val="A022D3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E72AB"/>
    <w:multiLevelType w:val="hybridMultilevel"/>
    <w:tmpl w:val="431AC3E8"/>
    <w:lvl w:ilvl="0" w:tplc="F17CBC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C33ECB"/>
    <w:multiLevelType w:val="hybridMultilevel"/>
    <w:tmpl w:val="4FF4D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2867DE"/>
    <w:multiLevelType w:val="hybridMultilevel"/>
    <w:tmpl w:val="1F0A0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FF0AB7"/>
    <w:multiLevelType w:val="hybridMultilevel"/>
    <w:tmpl w:val="A1CA7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D83A01"/>
    <w:multiLevelType w:val="hybridMultilevel"/>
    <w:tmpl w:val="005C4978"/>
    <w:lvl w:ilvl="0" w:tplc="0809000F">
      <w:start w:val="1"/>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8" w15:restartNumberingAfterBreak="0">
    <w:nsid w:val="651363EB"/>
    <w:multiLevelType w:val="hybridMultilevel"/>
    <w:tmpl w:val="E3109238"/>
    <w:lvl w:ilvl="0" w:tplc="0C5449CC">
      <w:start w:val="1"/>
      <w:numFmt w:val="bullet"/>
      <w:lvlText w:val="•"/>
      <w:lvlJc w:val="left"/>
      <w:pPr>
        <w:tabs>
          <w:tab w:val="num" w:pos="720"/>
        </w:tabs>
        <w:ind w:left="720" w:hanging="360"/>
      </w:pPr>
      <w:rPr>
        <w:rFonts w:ascii="Arial" w:hAnsi="Arial" w:hint="default"/>
      </w:rPr>
    </w:lvl>
    <w:lvl w:ilvl="1" w:tplc="9E465BAC" w:tentative="1">
      <w:start w:val="1"/>
      <w:numFmt w:val="bullet"/>
      <w:lvlText w:val="•"/>
      <w:lvlJc w:val="left"/>
      <w:pPr>
        <w:tabs>
          <w:tab w:val="num" w:pos="1440"/>
        </w:tabs>
        <w:ind w:left="1440" w:hanging="360"/>
      </w:pPr>
      <w:rPr>
        <w:rFonts w:ascii="Arial" w:hAnsi="Arial" w:hint="default"/>
      </w:rPr>
    </w:lvl>
    <w:lvl w:ilvl="2" w:tplc="411ACC4E" w:tentative="1">
      <w:start w:val="1"/>
      <w:numFmt w:val="bullet"/>
      <w:lvlText w:val="•"/>
      <w:lvlJc w:val="left"/>
      <w:pPr>
        <w:tabs>
          <w:tab w:val="num" w:pos="2160"/>
        </w:tabs>
        <w:ind w:left="2160" w:hanging="360"/>
      </w:pPr>
      <w:rPr>
        <w:rFonts w:ascii="Arial" w:hAnsi="Arial" w:hint="default"/>
      </w:rPr>
    </w:lvl>
    <w:lvl w:ilvl="3" w:tplc="6A084090" w:tentative="1">
      <w:start w:val="1"/>
      <w:numFmt w:val="bullet"/>
      <w:lvlText w:val="•"/>
      <w:lvlJc w:val="left"/>
      <w:pPr>
        <w:tabs>
          <w:tab w:val="num" w:pos="2880"/>
        </w:tabs>
        <w:ind w:left="2880" w:hanging="360"/>
      </w:pPr>
      <w:rPr>
        <w:rFonts w:ascii="Arial" w:hAnsi="Arial" w:hint="default"/>
      </w:rPr>
    </w:lvl>
    <w:lvl w:ilvl="4" w:tplc="56627C3E" w:tentative="1">
      <w:start w:val="1"/>
      <w:numFmt w:val="bullet"/>
      <w:lvlText w:val="•"/>
      <w:lvlJc w:val="left"/>
      <w:pPr>
        <w:tabs>
          <w:tab w:val="num" w:pos="3600"/>
        </w:tabs>
        <w:ind w:left="3600" w:hanging="360"/>
      </w:pPr>
      <w:rPr>
        <w:rFonts w:ascii="Arial" w:hAnsi="Arial" w:hint="default"/>
      </w:rPr>
    </w:lvl>
    <w:lvl w:ilvl="5" w:tplc="C96EFD42" w:tentative="1">
      <w:start w:val="1"/>
      <w:numFmt w:val="bullet"/>
      <w:lvlText w:val="•"/>
      <w:lvlJc w:val="left"/>
      <w:pPr>
        <w:tabs>
          <w:tab w:val="num" w:pos="4320"/>
        </w:tabs>
        <w:ind w:left="4320" w:hanging="360"/>
      </w:pPr>
      <w:rPr>
        <w:rFonts w:ascii="Arial" w:hAnsi="Arial" w:hint="default"/>
      </w:rPr>
    </w:lvl>
    <w:lvl w:ilvl="6" w:tplc="5866B0BC" w:tentative="1">
      <w:start w:val="1"/>
      <w:numFmt w:val="bullet"/>
      <w:lvlText w:val="•"/>
      <w:lvlJc w:val="left"/>
      <w:pPr>
        <w:tabs>
          <w:tab w:val="num" w:pos="5040"/>
        </w:tabs>
        <w:ind w:left="5040" w:hanging="360"/>
      </w:pPr>
      <w:rPr>
        <w:rFonts w:ascii="Arial" w:hAnsi="Arial" w:hint="default"/>
      </w:rPr>
    </w:lvl>
    <w:lvl w:ilvl="7" w:tplc="9D0A12FC" w:tentative="1">
      <w:start w:val="1"/>
      <w:numFmt w:val="bullet"/>
      <w:lvlText w:val="•"/>
      <w:lvlJc w:val="left"/>
      <w:pPr>
        <w:tabs>
          <w:tab w:val="num" w:pos="5760"/>
        </w:tabs>
        <w:ind w:left="5760" w:hanging="360"/>
      </w:pPr>
      <w:rPr>
        <w:rFonts w:ascii="Arial" w:hAnsi="Arial" w:hint="default"/>
      </w:rPr>
    </w:lvl>
    <w:lvl w:ilvl="8" w:tplc="CB3EA8A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7753AC0"/>
    <w:multiLevelType w:val="hybridMultilevel"/>
    <w:tmpl w:val="4C18C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DD4A27"/>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3"/>
  </w:num>
  <w:num w:numId="2">
    <w:abstractNumId w:val="9"/>
  </w:num>
  <w:num w:numId="3">
    <w:abstractNumId w:val="10"/>
  </w:num>
  <w:num w:numId="4">
    <w:abstractNumId w:val="0"/>
  </w:num>
  <w:num w:numId="5">
    <w:abstractNumId w:val="8"/>
  </w:num>
  <w:num w:numId="6">
    <w:abstractNumId w:val="6"/>
  </w:num>
  <w:num w:numId="7">
    <w:abstractNumId w:val="2"/>
  </w:num>
  <w:num w:numId="8">
    <w:abstractNumId w:val="5"/>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3EF"/>
    <w:rsid w:val="000038A3"/>
    <w:rsid w:val="000606A9"/>
    <w:rsid w:val="000620D3"/>
    <w:rsid w:val="0007092A"/>
    <w:rsid w:val="00094A76"/>
    <w:rsid w:val="000A1FF8"/>
    <w:rsid w:val="000C5E82"/>
    <w:rsid w:val="000D4EBE"/>
    <w:rsid w:val="000D7816"/>
    <w:rsid w:val="000F4791"/>
    <w:rsid w:val="00106224"/>
    <w:rsid w:val="00142F6C"/>
    <w:rsid w:val="001541EA"/>
    <w:rsid w:val="0016278E"/>
    <w:rsid w:val="00184F2F"/>
    <w:rsid w:val="001903E7"/>
    <w:rsid w:val="001B46A0"/>
    <w:rsid w:val="001C6A2B"/>
    <w:rsid w:val="001E0342"/>
    <w:rsid w:val="001E2855"/>
    <w:rsid w:val="001E53CE"/>
    <w:rsid w:val="001E7DD4"/>
    <w:rsid w:val="002073EF"/>
    <w:rsid w:val="00224C21"/>
    <w:rsid w:val="0022567A"/>
    <w:rsid w:val="002530B5"/>
    <w:rsid w:val="00263CC1"/>
    <w:rsid w:val="00275D81"/>
    <w:rsid w:val="00280F07"/>
    <w:rsid w:val="002874A9"/>
    <w:rsid w:val="002A3948"/>
    <w:rsid w:val="002B3A5C"/>
    <w:rsid w:val="002E4560"/>
    <w:rsid w:val="00314B61"/>
    <w:rsid w:val="003155F4"/>
    <w:rsid w:val="00331CA7"/>
    <w:rsid w:val="00333378"/>
    <w:rsid w:val="00341613"/>
    <w:rsid w:val="0034777B"/>
    <w:rsid w:val="0035348C"/>
    <w:rsid w:val="0037689B"/>
    <w:rsid w:val="00393716"/>
    <w:rsid w:val="003D4BB2"/>
    <w:rsid w:val="004002D3"/>
    <w:rsid w:val="00406768"/>
    <w:rsid w:val="004119BE"/>
    <w:rsid w:val="00447B51"/>
    <w:rsid w:val="00450BEF"/>
    <w:rsid w:val="004536A3"/>
    <w:rsid w:val="00457FFB"/>
    <w:rsid w:val="004667E6"/>
    <w:rsid w:val="004928AE"/>
    <w:rsid w:val="004A0297"/>
    <w:rsid w:val="004A0594"/>
    <w:rsid w:val="004B62D9"/>
    <w:rsid w:val="004D288F"/>
    <w:rsid w:val="004E281D"/>
    <w:rsid w:val="004E6B3D"/>
    <w:rsid w:val="00500282"/>
    <w:rsid w:val="0052136C"/>
    <w:rsid w:val="00525A88"/>
    <w:rsid w:val="00551607"/>
    <w:rsid w:val="00566EED"/>
    <w:rsid w:val="0057602A"/>
    <w:rsid w:val="005D64CF"/>
    <w:rsid w:val="005F276D"/>
    <w:rsid w:val="005F3F63"/>
    <w:rsid w:val="005F6B61"/>
    <w:rsid w:val="00610745"/>
    <w:rsid w:val="00627CFE"/>
    <w:rsid w:val="006417FA"/>
    <w:rsid w:val="00642775"/>
    <w:rsid w:val="00650631"/>
    <w:rsid w:val="006750D5"/>
    <w:rsid w:val="0067684B"/>
    <w:rsid w:val="006B3A7C"/>
    <w:rsid w:val="006C011C"/>
    <w:rsid w:val="006D6AB0"/>
    <w:rsid w:val="006E5B3D"/>
    <w:rsid w:val="006E7163"/>
    <w:rsid w:val="00724569"/>
    <w:rsid w:val="00766E9C"/>
    <w:rsid w:val="0077145F"/>
    <w:rsid w:val="0077249E"/>
    <w:rsid w:val="00772CB6"/>
    <w:rsid w:val="00777671"/>
    <w:rsid w:val="0079101F"/>
    <w:rsid w:val="00795FB2"/>
    <w:rsid w:val="007E058B"/>
    <w:rsid w:val="007E199E"/>
    <w:rsid w:val="007E39F4"/>
    <w:rsid w:val="007F0726"/>
    <w:rsid w:val="008046C6"/>
    <w:rsid w:val="008267A9"/>
    <w:rsid w:val="00834F04"/>
    <w:rsid w:val="00841CB2"/>
    <w:rsid w:val="0085633C"/>
    <w:rsid w:val="00875300"/>
    <w:rsid w:val="00891B92"/>
    <w:rsid w:val="008A05F0"/>
    <w:rsid w:val="008C2FA4"/>
    <w:rsid w:val="008C44BE"/>
    <w:rsid w:val="008D2976"/>
    <w:rsid w:val="008E2C77"/>
    <w:rsid w:val="008F3289"/>
    <w:rsid w:val="00903FBB"/>
    <w:rsid w:val="00910B54"/>
    <w:rsid w:val="00914074"/>
    <w:rsid w:val="00952066"/>
    <w:rsid w:val="00985DCB"/>
    <w:rsid w:val="009960E6"/>
    <w:rsid w:val="009A601D"/>
    <w:rsid w:val="009B6097"/>
    <w:rsid w:val="009D115A"/>
    <w:rsid w:val="009E3921"/>
    <w:rsid w:val="009F1711"/>
    <w:rsid w:val="009F2D25"/>
    <w:rsid w:val="009F4595"/>
    <w:rsid w:val="009F4F8F"/>
    <w:rsid w:val="00A1298B"/>
    <w:rsid w:val="00A55A40"/>
    <w:rsid w:val="00AA2880"/>
    <w:rsid w:val="00AB0530"/>
    <w:rsid w:val="00AC1E68"/>
    <w:rsid w:val="00AC2A31"/>
    <w:rsid w:val="00AF1E02"/>
    <w:rsid w:val="00B44023"/>
    <w:rsid w:val="00B70761"/>
    <w:rsid w:val="00B93D06"/>
    <w:rsid w:val="00B95366"/>
    <w:rsid w:val="00BE0056"/>
    <w:rsid w:val="00BE2510"/>
    <w:rsid w:val="00BF07BE"/>
    <w:rsid w:val="00C45752"/>
    <w:rsid w:val="00C4792F"/>
    <w:rsid w:val="00C50326"/>
    <w:rsid w:val="00C8272C"/>
    <w:rsid w:val="00CA373C"/>
    <w:rsid w:val="00CA6493"/>
    <w:rsid w:val="00CA726A"/>
    <w:rsid w:val="00CD649A"/>
    <w:rsid w:val="00CE7FC7"/>
    <w:rsid w:val="00D00F1B"/>
    <w:rsid w:val="00D10A26"/>
    <w:rsid w:val="00D271AD"/>
    <w:rsid w:val="00D3014D"/>
    <w:rsid w:val="00D319A0"/>
    <w:rsid w:val="00D412B7"/>
    <w:rsid w:val="00D42277"/>
    <w:rsid w:val="00D55B97"/>
    <w:rsid w:val="00D646C6"/>
    <w:rsid w:val="00DB310B"/>
    <w:rsid w:val="00DC1887"/>
    <w:rsid w:val="00DC5066"/>
    <w:rsid w:val="00DD69C8"/>
    <w:rsid w:val="00DE138C"/>
    <w:rsid w:val="00E33501"/>
    <w:rsid w:val="00E44A04"/>
    <w:rsid w:val="00E4508E"/>
    <w:rsid w:val="00E973B9"/>
    <w:rsid w:val="00EA6DA3"/>
    <w:rsid w:val="00EB43D0"/>
    <w:rsid w:val="00EC6725"/>
    <w:rsid w:val="00ED0FE8"/>
    <w:rsid w:val="00F066F5"/>
    <w:rsid w:val="00F21B6F"/>
    <w:rsid w:val="00F24D30"/>
    <w:rsid w:val="00F5304F"/>
    <w:rsid w:val="00F83C86"/>
    <w:rsid w:val="00FA3656"/>
    <w:rsid w:val="00FB55FD"/>
    <w:rsid w:val="00FB6007"/>
    <w:rsid w:val="00FD4733"/>
    <w:rsid w:val="00FF7D4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EBF17"/>
  <w15:docId w15:val="{3C4A5A9F-2414-4E80-BDF8-CC03A14A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3EF"/>
    <w:pPr>
      <w:ind w:left="720"/>
      <w:contextualSpacing/>
    </w:pPr>
  </w:style>
  <w:style w:type="character" w:styleId="CommentReference">
    <w:name w:val="annotation reference"/>
    <w:basedOn w:val="DefaultParagraphFont"/>
    <w:uiPriority w:val="99"/>
    <w:semiHidden/>
    <w:unhideWhenUsed/>
    <w:rsid w:val="004D288F"/>
    <w:rPr>
      <w:sz w:val="16"/>
      <w:szCs w:val="16"/>
    </w:rPr>
  </w:style>
  <w:style w:type="paragraph" w:styleId="CommentText">
    <w:name w:val="annotation text"/>
    <w:basedOn w:val="Normal"/>
    <w:link w:val="CommentTextChar"/>
    <w:uiPriority w:val="99"/>
    <w:semiHidden/>
    <w:unhideWhenUsed/>
    <w:rsid w:val="004D288F"/>
    <w:pPr>
      <w:spacing w:line="240" w:lineRule="auto"/>
    </w:pPr>
    <w:rPr>
      <w:sz w:val="20"/>
      <w:szCs w:val="20"/>
    </w:rPr>
  </w:style>
  <w:style w:type="character" w:customStyle="1" w:styleId="CommentTextChar">
    <w:name w:val="Comment Text Char"/>
    <w:basedOn w:val="DefaultParagraphFont"/>
    <w:link w:val="CommentText"/>
    <w:uiPriority w:val="99"/>
    <w:semiHidden/>
    <w:rsid w:val="004D288F"/>
    <w:rPr>
      <w:sz w:val="20"/>
      <w:szCs w:val="20"/>
    </w:rPr>
  </w:style>
  <w:style w:type="paragraph" w:styleId="CommentSubject">
    <w:name w:val="annotation subject"/>
    <w:basedOn w:val="CommentText"/>
    <w:next w:val="CommentText"/>
    <w:link w:val="CommentSubjectChar"/>
    <w:uiPriority w:val="99"/>
    <w:semiHidden/>
    <w:unhideWhenUsed/>
    <w:rsid w:val="004D288F"/>
    <w:rPr>
      <w:b/>
      <w:bCs/>
    </w:rPr>
  </w:style>
  <w:style w:type="character" w:customStyle="1" w:styleId="CommentSubjectChar">
    <w:name w:val="Comment Subject Char"/>
    <w:basedOn w:val="CommentTextChar"/>
    <w:link w:val="CommentSubject"/>
    <w:uiPriority w:val="99"/>
    <w:semiHidden/>
    <w:rsid w:val="004D288F"/>
    <w:rPr>
      <w:b/>
      <w:bCs/>
      <w:sz w:val="20"/>
      <w:szCs w:val="20"/>
    </w:rPr>
  </w:style>
  <w:style w:type="paragraph" w:styleId="BalloonText">
    <w:name w:val="Balloon Text"/>
    <w:basedOn w:val="Normal"/>
    <w:link w:val="BalloonTextChar"/>
    <w:uiPriority w:val="99"/>
    <w:semiHidden/>
    <w:unhideWhenUsed/>
    <w:rsid w:val="004D2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88F"/>
    <w:rPr>
      <w:rFonts w:ascii="Segoe UI" w:hAnsi="Segoe UI" w:cs="Segoe UI"/>
      <w:sz w:val="18"/>
      <w:szCs w:val="18"/>
    </w:rPr>
  </w:style>
  <w:style w:type="table" w:styleId="TableGrid">
    <w:name w:val="Table Grid"/>
    <w:basedOn w:val="TableNormal"/>
    <w:uiPriority w:val="39"/>
    <w:rsid w:val="004D2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4D288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4D2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88F"/>
  </w:style>
  <w:style w:type="paragraph" w:styleId="Footer">
    <w:name w:val="footer"/>
    <w:basedOn w:val="Normal"/>
    <w:link w:val="FooterChar"/>
    <w:uiPriority w:val="99"/>
    <w:unhideWhenUsed/>
    <w:rsid w:val="004D2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88F"/>
  </w:style>
  <w:style w:type="paragraph" w:styleId="Revision">
    <w:name w:val="Revision"/>
    <w:hidden/>
    <w:uiPriority w:val="99"/>
    <w:semiHidden/>
    <w:rsid w:val="004D288F"/>
    <w:pPr>
      <w:spacing w:after="0" w:line="240" w:lineRule="auto"/>
    </w:pPr>
  </w:style>
  <w:style w:type="character" w:customStyle="1" w:styleId="s1">
    <w:name w:val="s1"/>
    <w:basedOn w:val="DefaultParagraphFont"/>
    <w:rsid w:val="00BE2510"/>
  </w:style>
  <w:style w:type="paragraph" w:styleId="NoSpacing">
    <w:name w:val="No Spacing"/>
    <w:uiPriority w:val="1"/>
    <w:qFormat/>
    <w:rsid w:val="00AA2880"/>
    <w:pPr>
      <w:spacing w:after="0" w:line="240" w:lineRule="auto"/>
    </w:pPr>
  </w:style>
  <w:style w:type="character" w:styleId="Hyperlink">
    <w:name w:val="Hyperlink"/>
    <w:basedOn w:val="DefaultParagraphFont"/>
    <w:uiPriority w:val="99"/>
    <w:unhideWhenUsed/>
    <w:rsid w:val="002B3A5C"/>
    <w:rPr>
      <w:color w:val="0563C1" w:themeColor="hyperlink"/>
      <w:u w:val="single"/>
    </w:rPr>
  </w:style>
  <w:style w:type="character" w:styleId="UnresolvedMention">
    <w:name w:val="Unresolved Mention"/>
    <w:basedOn w:val="DefaultParagraphFont"/>
    <w:uiPriority w:val="99"/>
    <w:semiHidden/>
    <w:unhideWhenUsed/>
    <w:rsid w:val="002B3A5C"/>
    <w:rPr>
      <w:color w:val="808080"/>
      <w:shd w:val="clear" w:color="auto" w:fill="E6E6E6"/>
    </w:rPr>
  </w:style>
  <w:style w:type="character" w:styleId="FollowedHyperlink">
    <w:name w:val="FollowedHyperlink"/>
    <w:basedOn w:val="DefaultParagraphFont"/>
    <w:uiPriority w:val="99"/>
    <w:semiHidden/>
    <w:unhideWhenUsed/>
    <w:rsid w:val="002B3A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561462">
      <w:bodyDiv w:val="1"/>
      <w:marLeft w:val="0"/>
      <w:marRight w:val="0"/>
      <w:marTop w:val="0"/>
      <w:marBottom w:val="0"/>
      <w:divBdr>
        <w:top w:val="none" w:sz="0" w:space="0" w:color="auto"/>
        <w:left w:val="none" w:sz="0" w:space="0" w:color="auto"/>
        <w:bottom w:val="none" w:sz="0" w:space="0" w:color="auto"/>
        <w:right w:val="none" w:sz="0" w:space="0" w:color="auto"/>
      </w:divBdr>
    </w:div>
    <w:div w:id="183110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21EF9-1035-44E0-97B9-4E2299BCA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1036</Words>
  <Characters>5808</Characters>
  <Application>Microsoft Office Word</Application>
  <DocSecurity>0</DocSecurity>
  <Lines>82</Lines>
  <Paragraphs>31</Paragraphs>
  <ScaleCrop>false</ScaleCrop>
  <HeadingPairs>
    <vt:vector size="2" baseType="variant">
      <vt:variant>
        <vt:lpstr>Title</vt:lpstr>
      </vt:variant>
      <vt:variant>
        <vt:i4>1</vt:i4>
      </vt:variant>
    </vt:vector>
  </HeadingPairs>
  <TitlesOfParts>
    <vt:vector size="1" baseType="lpstr">
      <vt:lpstr/>
    </vt:vector>
  </TitlesOfParts>
  <Company>Standard Life PLC</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Dominic Veney</dc:creator>
  <dc:description>Classified as OA and Neither on 21/02/2019 by slf091</dc:description>
  <cp:lastModifiedBy>Murphy, Teresa (London)</cp:lastModifiedBy>
  <cp:revision>9</cp:revision>
  <cp:lastPrinted>2019-10-15T11:19:00Z</cp:lastPrinted>
  <dcterms:created xsi:type="dcterms:W3CDTF">2019-10-15T12:02:00Z</dcterms:created>
  <dcterms:modified xsi:type="dcterms:W3CDTF">2019-10-15T13:08:00Z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0c2fedb-0da6-4717-8531-d16a1b9930f4_Enabled">
    <vt:lpwstr>True</vt:lpwstr>
  </property>
  <property fmtid="{D5CDD505-2E9C-101B-9397-08002B2CF9AE}" pid="3" name="MSIP_Label_90c2fedb-0da6-4717-8531-d16a1b9930f4_SiteId">
    <vt:lpwstr>45597f60-6e37-4be7-acfb-4c9e23b261ea</vt:lpwstr>
  </property>
  <property fmtid="{D5CDD505-2E9C-101B-9397-08002B2CF9AE}" pid="4" name="MSIP_Label_90c2fedb-0da6-4717-8531-d16a1b9930f4_Owner">
    <vt:lpwstr>John_MillerJennings@swissre.com</vt:lpwstr>
  </property>
  <property fmtid="{D5CDD505-2E9C-101B-9397-08002B2CF9AE}" pid="5" name="MSIP_Label_90c2fedb-0da6-4717-8531-d16a1b9930f4_SetDate">
    <vt:lpwstr>2019-05-28T10:30:13.1933332Z</vt:lpwstr>
  </property>
  <property fmtid="{D5CDD505-2E9C-101B-9397-08002B2CF9AE}" pid="6" name="MSIP_Label_90c2fedb-0da6-4717-8531-d16a1b9930f4_Name">
    <vt:lpwstr>Internal</vt:lpwstr>
  </property>
  <property fmtid="{D5CDD505-2E9C-101B-9397-08002B2CF9AE}" pid="7" name="MSIP_Label_90c2fedb-0da6-4717-8531-d16a1b9930f4_Application">
    <vt:lpwstr>Microsoft Azure Information Protection</vt:lpwstr>
  </property>
  <property fmtid="{D5CDD505-2E9C-101B-9397-08002B2CF9AE}" pid="8" name="MSIP_Label_90c2fedb-0da6-4717-8531-d16a1b9930f4_Extended_MSFT_Method">
    <vt:lpwstr>Automatic</vt:lpwstr>
  </property>
  <property fmtid="{D5CDD505-2E9C-101B-9397-08002B2CF9AE}" pid="9" name="MSIP_Label_e7091180-6da5-4d97-a573-b62965fadb9f_Enabled">
    <vt:lpwstr>True</vt:lpwstr>
  </property>
  <property fmtid="{D5CDD505-2E9C-101B-9397-08002B2CF9AE}" pid="10" name="MSIP_Label_e7091180-6da5-4d97-a573-b62965fadb9f_SiteId">
    <vt:lpwstr>c9da0d0e-f235-4e9a-b399-246a120ebd3e</vt:lpwstr>
  </property>
  <property fmtid="{D5CDD505-2E9C-101B-9397-08002B2CF9AE}" pid="11" name="MSIP_Label_e7091180-6da5-4d97-a573-b62965fadb9f_Owner">
    <vt:lpwstr>Veney@pensioncorporation.com</vt:lpwstr>
  </property>
  <property fmtid="{D5CDD505-2E9C-101B-9397-08002B2CF9AE}" pid="12" name="MSIP_Label_e7091180-6da5-4d97-a573-b62965fadb9f_SetDate">
    <vt:lpwstr>2019-02-12T14:35:42.8348532Z</vt:lpwstr>
  </property>
  <property fmtid="{D5CDD505-2E9C-101B-9397-08002B2CF9AE}" pid="13" name="MSIP_Label_e7091180-6da5-4d97-a573-b62965fadb9f_Name">
    <vt:lpwstr>Internal</vt:lpwstr>
  </property>
  <property fmtid="{D5CDD505-2E9C-101B-9397-08002B2CF9AE}" pid="14" name="MSIP_Label_e7091180-6da5-4d97-a573-b62965fadb9f_Application">
    <vt:lpwstr>Microsoft Azure Information Protection</vt:lpwstr>
  </property>
  <property fmtid="{D5CDD505-2E9C-101B-9397-08002B2CF9AE}" pid="15" name="MSIP_Label_e7091180-6da5-4d97-a573-b62965fadb9f_Extended_MSFT_Method">
    <vt:lpwstr>Automatic</vt:lpwstr>
  </property>
  <property fmtid="{D5CDD505-2E9C-101B-9397-08002B2CF9AE}" pid="16" name="Sensitivity">
    <vt:lpwstr>Internal Internal</vt:lpwstr>
  </property>
</Properties>
</file>