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3320"/>
        <w:tblW w:w="9277" w:type="dxa"/>
        <w:tblLook w:val="04A0" w:firstRow="1" w:lastRow="0" w:firstColumn="1" w:lastColumn="0" w:noHBand="0" w:noVBand="1"/>
      </w:tblPr>
      <w:tblGrid>
        <w:gridCol w:w="5211"/>
        <w:gridCol w:w="4066"/>
      </w:tblGrid>
      <w:tr w:rsidR="00E93977" w:rsidTr="00E93977">
        <w:trPr>
          <w:trHeight w:val="7660"/>
        </w:trPr>
        <w:tc>
          <w:tcPr>
            <w:tcW w:w="9277" w:type="dxa"/>
            <w:gridSpan w:val="2"/>
            <w:tcBorders>
              <w:top w:val="nil"/>
              <w:left w:val="nil"/>
              <w:bottom w:val="nil"/>
              <w:right w:val="nil"/>
            </w:tcBorders>
          </w:tcPr>
          <w:p w:rsidR="00E93977" w:rsidRDefault="00A23BB5" w:rsidP="00361531">
            <w:pPr>
              <w:rPr>
                <w:rFonts w:ascii="Arial" w:hAnsi="Arial" w:cs="Arial"/>
                <w:b/>
                <w:color w:val="FFFFFF" w:themeColor="background1"/>
                <w:sz w:val="68"/>
                <w:szCs w:val="68"/>
              </w:rPr>
            </w:pPr>
            <w:r>
              <w:rPr>
                <w:rFonts w:ascii="Arial" w:hAnsi="Arial" w:cs="Arial"/>
                <w:b/>
                <w:color w:val="FFFFFF" w:themeColor="background1"/>
                <w:sz w:val="68"/>
                <w:szCs w:val="68"/>
              </w:rPr>
              <w:t xml:space="preserve">Pension </w:t>
            </w:r>
            <w:r>
              <w:rPr>
                <w:rFonts w:ascii="Arial" w:hAnsi="Arial" w:cs="Arial"/>
                <w:b/>
                <w:color w:val="FFFFFF" w:themeColor="background1"/>
                <w:sz w:val="68"/>
                <w:szCs w:val="68"/>
              </w:rPr>
              <w:t>Participation</w:t>
            </w:r>
            <w:r>
              <w:rPr>
                <w:rFonts w:ascii="Arial" w:hAnsi="Arial" w:cs="Arial"/>
                <w:b/>
                <w:color w:val="FFFFFF" w:themeColor="background1"/>
                <w:sz w:val="68"/>
                <w:szCs w:val="68"/>
              </w:rPr>
              <w:t xml:space="preserve"> Market Research</w:t>
            </w:r>
          </w:p>
          <w:p w:rsidR="00E93977" w:rsidRDefault="00A23BB5" w:rsidP="00361531">
            <w:pPr>
              <w:spacing w:before="120"/>
              <w:rPr>
                <w:rFonts w:ascii="Arial" w:hAnsi="Arial" w:cs="Arial"/>
                <w:color w:val="D9AB16"/>
                <w:sz w:val="44"/>
                <w:szCs w:val="44"/>
              </w:rPr>
            </w:pPr>
            <w:r>
              <w:rPr>
                <w:rFonts w:ascii="Arial" w:hAnsi="Arial" w:cs="Arial"/>
                <w:color w:val="D9AB16"/>
                <w:sz w:val="44"/>
                <w:szCs w:val="44"/>
              </w:rPr>
              <w:t>Review of UK and Worldwide Markets</w:t>
            </w:r>
          </w:p>
          <w:p w:rsidR="00E93977" w:rsidRDefault="00E93977" w:rsidP="00361531">
            <w:pPr>
              <w:rPr>
                <w:rFonts w:ascii="Arial" w:hAnsi="Arial" w:cs="Arial"/>
                <w:color w:val="D9AB16"/>
                <w:sz w:val="44"/>
                <w:szCs w:val="44"/>
              </w:rPr>
            </w:pPr>
          </w:p>
          <w:p w:rsidR="00A23BB5" w:rsidRPr="00980DC2" w:rsidRDefault="00A23BB5" w:rsidP="00A23BB5">
            <w:pPr>
              <w:spacing w:before="120"/>
              <w:rPr>
                <w:rFonts w:ascii="Arial" w:hAnsi="Arial" w:cs="Arial"/>
                <w:color w:val="FFFFFF" w:themeColor="background1"/>
                <w:sz w:val="32"/>
                <w:szCs w:val="36"/>
              </w:rPr>
            </w:pPr>
            <w:r w:rsidRPr="00980DC2">
              <w:rPr>
                <w:rFonts w:ascii="Arial" w:hAnsi="Arial" w:cs="Arial"/>
                <w:color w:val="FFFFFF" w:themeColor="background1"/>
                <w:sz w:val="32"/>
                <w:szCs w:val="36"/>
              </w:rPr>
              <w:t>Defined Contributions Participation, Accumulation and Decumulation Working Party</w:t>
            </w:r>
          </w:p>
          <w:p w:rsidR="00E93977" w:rsidRPr="0019646A" w:rsidRDefault="00A23BB5" w:rsidP="00A23BB5">
            <w:pPr>
              <w:spacing w:before="120"/>
              <w:rPr>
                <w:rFonts w:ascii="Arial" w:hAnsi="Arial" w:cs="Arial"/>
                <w:sz w:val="36"/>
                <w:szCs w:val="36"/>
              </w:rPr>
            </w:pPr>
            <w:r w:rsidRPr="00980DC2">
              <w:rPr>
                <w:rFonts w:ascii="Arial" w:hAnsi="Arial" w:cs="Arial"/>
                <w:color w:val="FFFFFF" w:themeColor="background1"/>
                <w:sz w:val="32"/>
                <w:szCs w:val="36"/>
              </w:rPr>
              <w:t>Working Party Members: Stephen Hyams (Chair), Mark Woodruff, Graham Warren, Alan Smith, John Atherton, Erik Pickett and Paul Willetts</w:t>
            </w:r>
          </w:p>
        </w:tc>
      </w:tr>
      <w:tr w:rsidR="0019646A" w:rsidTr="0019646A">
        <w:trPr>
          <w:trHeight w:val="3102"/>
        </w:trPr>
        <w:tc>
          <w:tcPr>
            <w:tcW w:w="9277" w:type="dxa"/>
            <w:gridSpan w:val="2"/>
            <w:tcBorders>
              <w:top w:val="nil"/>
              <w:left w:val="nil"/>
              <w:bottom w:val="nil"/>
              <w:right w:val="nil"/>
            </w:tcBorders>
            <w:vAlign w:val="center"/>
          </w:tcPr>
          <w:p w:rsidR="0019646A" w:rsidRPr="00404DA5" w:rsidRDefault="0019646A" w:rsidP="0019646A">
            <w:pPr>
              <w:rPr>
                <w:rFonts w:ascii="Arial" w:hAnsi="Arial" w:cs="Arial"/>
                <w:sz w:val="56"/>
                <w:szCs w:val="56"/>
              </w:rPr>
            </w:pPr>
          </w:p>
        </w:tc>
      </w:tr>
      <w:tr w:rsidR="00361531" w:rsidTr="0019646A">
        <w:trPr>
          <w:trHeight w:val="1653"/>
        </w:trPr>
        <w:tc>
          <w:tcPr>
            <w:tcW w:w="5211" w:type="dxa"/>
            <w:tcBorders>
              <w:top w:val="nil"/>
              <w:left w:val="nil"/>
              <w:bottom w:val="nil"/>
              <w:right w:val="nil"/>
            </w:tcBorders>
            <w:vAlign w:val="bottom"/>
          </w:tcPr>
          <w:p w:rsidR="00361531" w:rsidRPr="00361531" w:rsidRDefault="00361531" w:rsidP="00361531">
            <w:pPr>
              <w:rPr>
                <w:sz w:val="24"/>
                <w:szCs w:val="24"/>
              </w:rPr>
            </w:pPr>
          </w:p>
        </w:tc>
        <w:tc>
          <w:tcPr>
            <w:tcW w:w="4066" w:type="dxa"/>
            <w:tcBorders>
              <w:top w:val="nil"/>
              <w:left w:val="nil"/>
              <w:bottom w:val="nil"/>
              <w:right w:val="nil"/>
            </w:tcBorders>
            <w:vAlign w:val="bottom"/>
          </w:tcPr>
          <w:p w:rsidR="004E558C" w:rsidRPr="00361531" w:rsidRDefault="00A23BB5" w:rsidP="00C02290">
            <w:pPr>
              <w:jc w:val="right"/>
              <w:rPr>
                <w:rFonts w:ascii="Arial" w:hAnsi="Arial" w:cs="Arial"/>
                <w:color w:val="FFFFFF" w:themeColor="background1"/>
                <w:sz w:val="36"/>
                <w:szCs w:val="36"/>
              </w:rPr>
            </w:pPr>
            <w:r>
              <w:rPr>
                <w:rFonts w:ascii="Arial" w:hAnsi="Arial" w:cs="Arial"/>
                <w:color w:val="FFFFFF" w:themeColor="background1"/>
                <w:sz w:val="36"/>
                <w:szCs w:val="36"/>
              </w:rPr>
              <w:t>September</w:t>
            </w:r>
            <w:r w:rsidR="00361531" w:rsidRPr="00361531">
              <w:rPr>
                <w:rFonts w:ascii="Arial" w:hAnsi="Arial" w:cs="Arial"/>
                <w:color w:val="FFFFFF" w:themeColor="background1"/>
                <w:sz w:val="36"/>
                <w:szCs w:val="36"/>
              </w:rPr>
              <w:t xml:space="preserve"> 201</w:t>
            </w:r>
            <w:r w:rsidR="009E24AF">
              <w:rPr>
                <w:rFonts w:ascii="Arial" w:hAnsi="Arial" w:cs="Arial"/>
                <w:color w:val="FFFFFF" w:themeColor="background1"/>
                <w:sz w:val="36"/>
                <w:szCs w:val="36"/>
              </w:rPr>
              <w:t>7</w:t>
            </w:r>
          </w:p>
        </w:tc>
      </w:tr>
    </w:tbl>
    <w:p w:rsidR="00D0143C" w:rsidRDefault="00D0143C"/>
    <w:p w:rsidR="00D0143C" w:rsidRDefault="00D0143C">
      <w:r>
        <w:br w:type="page"/>
      </w:r>
    </w:p>
    <w:p w:rsidR="002356ED" w:rsidRDefault="002356ED" w:rsidP="004A7D4C">
      <w:pPr>
        <w:spacing w:after="120"/>
      </w:pPr>
    </w:p>
    <w:p w:rsidR="00A726D3" w:rsidRPr="00A0755B" w:rsidRDefault="00A726D3" w:rsidP="00A726D3">
      <w:pPr>
        <w:pStyle w:val="ListParagraph"/>
        <w:spacing w:after="120" w:line="240" w:lineRule="auto"/>
        <w:ind w:left="567"/>
        <w:contextualSpacing w:val="0"/>
        <w:rPr>
          <w:b/>
          <w:sz w:val="28"/>
          <w:szCs w:val="28"/>
        </w:rPr>
      </w:pPr>
      <w:r w:rsidRPr="00A0755B">
        <w:rPr>
          <w:b/>
          <w:sz w:val="28"/>
          <w:szCs w:val="28"/>
        </w:rPr>
        <w:t>Foreword</w:t>
      </w:r>
    </w:p>
    <w:p w:rsidR="00A726D3" w:rsidRPr="00A0755B" w:rsidRDefault="00A726D3" w:rsidP="00A726D3">
      <w:pPr>
        <w:pStyle w:val="ListParagraph"/>
        <w:spacing w:after="120" w:line="240" w:lineRule="auto"/>
        <w:ind w:left="567"/>
        <w:contextualSpacing w:val="0"/>
      </w:pPr>
      <w:r w:rsidRPr="00A0755B">
        <w:t xml:space="preserve">This paper has been prepared by the Defined Contributions Participation, Accumulation &amp; Decumulation Working Party of the </w:t>
      </w:r>
      <w:proofErr w:type="spellStart"/>
      <w:r w:rsidRPr="00A0755B">
        <w:t>IFoA</w:t>
      </w:r>
      <w:proofErr w:type="spellEnd"/>
      <w:r w:rsidRPr="00A0755B">
        <w:t xml:space="preserve">. Its purpose is to review experience from the UK and worldwide concerning increasing participation in DC pension saving </w:t>
      </w:r>
      <w:r>
        <w:t>in order</w:t>
      </w:r>
      <w:r w:rsidRPr="00A0755B">
        <w:t xml:space="preserve"> to identify areas for potential further research by our Working Party or others. It is </w:t>
      </w:r>
      <w:r>
        <w:t>our</w:t>
      </w:r>
      <w:r w:rsidRPr="00A0755B">
        <w:t xml:space="preserve"> second paper reviewing various aspects of DC pensions.</w:t>
      </w:r>
    </w:p>
    <w:p w:rsidR="00A726D3" w:rsidRPr="00A0755B" w:rsidRDefault="00A726D3" w:rsidP="00A726D3">
      <w:pPr>
        <w:pStyle w:val="ListParagraph"/>
        <w:numPr>
          <w:ilvl w:val="0"/>
          <w:numId w:val="1"/>
        </w:numPr>
        <w:spacing w:before="360" w:after="120"/>
        <w:ind w:left="567" w:hanging="567"/>
        <w:contextualSpacing w:val="0"/>
        <w:rPr>
          <w:b/>
          <w:sz w:val="28"/>
          <w:szCs w:val="28"/>
        </w:rPr>
      </w:pPr>
      <w:r w:rsidRPr="00A0755B">
        <w:rPr>
          <w:b/>
          <w:sz w:val="28"/>
          <w:szCs w:val="28"/>
        </w:rPr>
        <w:t>Introduction</w:t>
      </w:r>
    </w:p>
    <w:p w:rsidR="00A726D3" w:rsidRPr="00D0359F" w:rsidRDefault="00A726D3" w:rsidP="00A726D3">
      <w:pPr>
        <w:pStyle w:val="ListParagraph"/>
        <w:numPr>
          <w:ilvl w:val="1"/>
          <w:numId w:val="1"/>
        </w:numPr>
        <w:autoSpaceDE w:val="0"/>
        <w:autoSpaceDN w:val="0"/>
        <w:adjustRightInd w:val="0"/>
        <w:spacing w:after="120" w:line="240" w:lineRule="auto"/>
        <w:ind w:left="567" w:hanging="567"/>
        <w:contextualSpacing w:val="0"/>
      </w:pPr>
      <w:r w:rsidRPr="00D0359F">
        <w:t>The pension problem facing the UK (and many other Western countries) is the combination of the following effects:</w:t>
      </w:r>
    </w:p>
    <w:p w:rsidR="00A726D3" w:rsidRPr="00A0755B" w:rsidRDefault="00A726D3" w:rsidP="00A726D3">
      <w:pPr>
        <w:pStyle w:val="ListParagraph"/>
        <w:numPr>
          <w:ilvl w:val="0"/>
          <w:numId w:val="3"/>
        </w:numPr>
        <w:spacing w:after="120"/>
        <w:ind w:left="927"/>
        <w:contextualSpacing w:val="0"/>
      </w:pPr>
      <w:r w:rsidRPr="00A0755B">
        <w:t xml:space="preserve">A decline in the level of pension </w:t>
      </w:r>
      <w:r>
        <w:t xml:space="preserve">and other </w:t>
      </w:r>
      <w:r w:rsidRPr="00A0755B">
        <w:t>savings, exacerbated by the demise in traditional defined benefit pensions</w:t>
      </w:r>
      <w:r>
        <w:t>.</w:t>
      </w:r>
    </w:p>
    <w:p w:rsidR="00A726D3" w:rsidRPr="00A0755B" w:rsidRDefault="00A726D3" w:rsidP="00A726D3">
      <w:pPr>
        <w:pStyle w:val="ListParagraph"/>
        <w:numPr>
          <w:ilvl w:val="0"/>
          <w:numId w:val="3"/>
        </w:numPr>
        <w:spacing w:after="120"/>
        <w:ind w:left="927"/>
        <w:contextualSpacing w:val="0"/>
      </w:pPr>
      <w:r w:rsidRPr="00A0755B">
        <w:t>Increased longevity, compounded by the current historically low interest rates, increasing the cost of pension provision.</w:t>
      </w:r>
    </w:p>
    <w:p w:rsidR="00A726D3" w:rsidRPr="00A0755B" w:rsidRDefault="00A726D3" w:rsidP="00A726D3">
      <w:pPr>
        <w:pStyle w:val="ListParagraph"/>
        <w:numPr>
          <w:ilvl w:val="0"/>
          <w:numId w:val="3"/>
        </w:numPr>
        <w:spacing w:after="120"/>
        <w:ind w:left="927"/>
        <w:contextualSpacing w:val="0"/>
      </w:pPr>
      <w:r w:rsidRPr="00A0755B">
        <w:t xml:space="preserve">An aging population. </w:t>
      </w:r>
      <w:r w:rsidRPr="00D0359F">
        <w:t>In 2014/15 the cost of State pension provision in the UK was £108bn and made up 42% of the total welfare spend</w:t>
      </w:r>
      <w:r w:rsidR="00F87758">
        <w:rPr>
          <w:rStyle w:val="FootnoteReference"/>
        </w:rPr>
        <w:footnoteReference w:id="1"/>
      </w:r>
      <w:r w:rsidRPr="00D0359F">
        <w:t>.</w:t>
      </w:r>
      <w:r w:rsidRPr="00A0755B" w:rsidDel="009A62B6">
        <w:t xml:space="preserve"> </w:t>
      </w:r>
      <w:r w:rsidRPr="00A0755B">
        <w:t>This annual cost is projected to rise, with less tax revenue available to finance it due to the reducing ratio of workers to retirees, thereby putting a strain on the sustainability of the State pension</w:t>
      </w:r>
      <w:r>
        <w:t>.</w:t>
      </w:r>
    </w:p>
    <w:p w:rsidR="00A726D3" w:rsidRPr="00D0359F" w:rsidRDefault="00A726D3" w:rsidP="00A726D3">
      <w:pPr>
        <w:pStyle w:val="ListParagraph"/>
        <w:numPr>
          <w:ilvl w:val="1"/>
          <w:numId w:val="1"/>
        </w:numPr>
        <w:autoSpaceDE w:val="0"/>
        <w:autoSpaceDN w:val="0"/>
        <w:adjustRightInd w:val="0"/>
        <w:spacing w:after="120" w:line="240" w:lineRule="auto"/>
        <w:ind w:left="567" w:hanging="567"/>
        <w:contextualSpacing w:val="0"/>
      </w:pPr>
      <w:r w:rsidRPr="00D0359F">
        <w:t>If these trends continue, then some combination of the following will be required:</w:t>
      </w:r>
    </w:p>
    <w:p w:rsidR="00A726D3" w:rsidRPr="00D0359F" w:rsidRDefault="00A726D3" w:rsidP="00A726D3">
      <w:pPr>
        <w:pStyle w:val="ListParagraph"/>
        <w:autoSpaceDE w:val="0"/>
        <w:autoSpaceDN w:val="0"/>
        <w:adjustRightInd w:val="0"/>
        <w:spacing w:after="120" w:line="240" w:lineRule="auto"/>
        <w:contextualSpacing w:val="0"/>
      </w:pPr>
      <w:r w:rsidRPr="00D0359F">
        <w:rPr>
          <w:b/>
        </w:rPr>
        <w:t>Increased savings participation:</w:t>
      </w:r>
      <w:r w:rsidRPr="00D0359F">
        <w:t xml:space="preserve"> Higher levels of personal savings will be required to maintain living standards in retirement. This could be as a result of:</w:t>
      </w:r>
    </w:p>
    <w:p w:rsidR="00A726D3" w:rsidRPr="00D0359F" w:rsidRDefault="00A726D3" w:rsidP="00A726D3">
      <w:pPr>
        <w:pStyle w:val="ListParagraph"/>
        <w:numPr>
          <w:ilvl w:val="0"/>
          <w:numId w:val="4"/>
        </w:numPr>
        <w:autoSpaceDE w:val="0"/>
        <w:autoSpaceDN w:val="0"/>
        <w:adjustRightInd w:val="0"/>
        <w:spacing w:after="120" w:line="240" w:lineRule="auto"/>
        <w:ind w:left="1674"/>
        <w:contextualSpacing w:val="0"/>
      </w:pPr>
      <w:r w:rsidRPr="00D0359F">
        <w:t>More people saving into pensions</w:t>
      </w:r>
    </w:p>
    <w:p w:rsidR="00A726D3" w:rsidRPr="00D0359F" w:rsidRDefault="00A726D3" w:rsidP="00A726D3">
      <w:pPr>
        <w:pStyle w:val="ListParagraph"/>
        <w:numPr>
          <w:ilvl w:val="0"/>
          <w:numId w:val="4"/>
        </w:numPr>
        <w:autoSpaceDE w:val="0"/>
        <w:autoSpaceDN w:val="0"/>
        <w:adjustRightInd w:val="0"/>
        <w:spacing w:after="120" w:line="240" w:lineRule="auto"/>
        <w:ind w:left="1674"/>
        <w:contextualSpacing w:val="0"/>
      </w:pPr>
      <w:r w:rsidRPr="00D0359F">
        <w:t>People saving more into their pensions</w:t>
      </w:r>
    </w:p>
    <w:p w:rsidR="00A726D3" w:rsidRPr="00D0359F" w:rsidRDefault="00A726D3" w:rsidP="00A726D3">
      <w:pPr>
        <w:pStyle w:val="ListParagraph"/>
        <w:numPr>
          <w:ilvl w:val="0"/>
          <w:numId w:val="4"/>
        </w:numPr>
        <w:autoSpaceDE w:val="0"/>
        <w:autoSpaceDN w:val="0"/>
        <w:adjustRightInd w:val="0"/>
        <w:spacing w:after="120" w:line="240" w:lineRule="auto"/>
        <w:ind w:left="1674"/>
        <w:contextualSpacing w:val="0"/>
      </w:pPr>
      <w:r w:rsidRPr="00D0359F">
        <w:t>People saving for longer (starting earlier or retiring later)</w:t>
      </w:r>
    </w:p>
    <w:p w:rsidR="00A726D3" w:rsidRPr="00D0359F" w:rsidRDefault="00A726D3" w:rsidP="00A726D3">
      <w:pPr>
        <w:pStyle w:val="ListParagraph"/>
        <w:autoSpaceDE w:val="0"/>
        <w:autoSpaceDN w:val="0"/>
        <w:adjustRightInd w:val="0"/>
        <w:spacing w:after="120" w:line="240" w:lineRule="auto"/>
        <w:contextualSpacing w:val="0"/>
      </w:pPr>
      <w:r w:rsidRPr="00D0359F">
        <w:rPr>
          <w:b/>
        </w:rPr>
        <w:t xml:space="preserve">Increased State spending: </w:t>
      </w:r>
      <w:r w:rsidRPr="00D0359F">
        <w:t>Higher tax revenue will be required to pay for the increasing cost of State provision of pension and other benefits</w:t>
      </w:r>
    </w:p>
    <w:p w:rsidR="00A726D3" w:rsidRPr="00D0359F" w:rsidRDefault="00A726D3" w:rsidP="00A726D3">
      <w:pPr>
        <w:pStyle w:val="ListParagraph"/>
        <w:autoSpaceDE w:val="0"/>
        <w:autoSpaceDN w:val="0"/>
        <w:adjustRightInd w:val="0"/>
        <w:spacing w:after="120" w:line="240" w:lineRule="auto"/>
        <w:contextualSpacing w:val="0"/>
      </w:pPr>
      <w:r w:rsidRPr="00D0359F">
        <w:rPr>
          <w:b/>
        </w:rPr>
        <w:t>Decline in living standards:</w:t>
      </w:r>
      <w:r w:rsidRPr="00D0359F">
        <w:t xml:space="preserve"> Living standards for retirees will decline.</w:t>
      </w:r>
    </w:p>
    <w:p w:rsidR="00A726D3" w:rsidRPr="00A0755B" w:rsidRDefault="00A726D3" w:rsidP="00A726D3">
      <w:pPr>
        <w:pStyle w:val="ListParagraph"/>
        <w:numPr>
          <w:ilvl w:val="1"/>
          <w:numId w:val="1"/>
        </w:numPr>
        <w:autoSpaceDE w:val="0"/>
        <w:autoSpaceDN w:val="0"/>
        <w:adjustRightInd w:val="0"/>
        <w:spacing w:after="120" w:line="240" w:lineRule="auto"/>
        <w:ind w:left="567" w:hanging="567"/>
        <w:contextualSpacing w:val="0"/>
      </w:pPr>
      <w:r w:rsidRPr="00D0359F">
        <w:t>In this paper we focus on learning from around the world to encourage increased savings participation, specifically in DC pensions. The paper is structured by the three approaches set out above.</w:t>
      </w:r>
    </w:p>
    <w:p w:rsidR="00A726D3" w:rsidRPr="00A0755B" w:rsidRDefault="00A726D3" w:rsidP="00A726D3">
      <w:pPr>
        <w:pStyle w:val="ListParagraph"/>
        <w:numPr>
          <w:ilvl w:val="0"/>
          <w:numId w:val="1"/>
        </w:numPr>
        <w:spacing w:before="360" w:after="120"/>
        <w:ind w:left="567" w:hanging="567"/>
        <w:contextualSpacing w:val="0"/>
        <w:rPr>
          <w:b/>
          <w:sz w:val="28"/>
          <w:szCs w:val="28"/>
        </w:rPr>
      </w:pPr>
      <w:r w:rsidRPr="00A0755B">
        <w:rPr>
          <w:b/>
          <w:sz w:val="28"/>
          <w:szCs w:val="28"/>
        </w:rPr>
        <w:t>More people saving</w:t>
      </w:r>
    </w:p>
    <w:p w:rsidR="00A726D3" w:rsidRPr="00A0755B" w:rsidRDefault="00A726D3" w:rsidP="00A726D3">
      <w:pPr>
        <w:pStyle w:val="ListParagraph"/>
        <w:autoSpaceDE w:val="0"/>
        <w:autoSpaceDN w:val="0"/>
        <w:adjustRightInd w:val="0"/>
        <w:spacing w:after="120" w:line="240" w:lineRule="auto"/>
        <w:ind w:left="567"/>
        <w:contextualSpacing w:val="0"/>
        <w:rPr>
          <w:b/>
          <w:sz w:val="24"/>
          <w:szCs w:val="24"/>
        </w:rPr>
      </w:pPr>
      <w:r w:rsidRPr="00A0755B">
        <w:rPr>
          <w:b/>
          <w:sz w:val="24"/>
          <w:szCs w:val="24"/>
        </w:rPr>
        <w:t>Wider availability</w:t>
      </w:r>
    </w:p>
    <w:p w:rsidR="00A726D3" w:rsidRPr="00D0359F" w:rsidRDefault="00A726D3" w:rsidP="00A726D3">
      <w:pPr>
        <w:pStyle w:val="ListParagraph"/>
        <w:numPr>
          <w:ilvl w:val="1"/>
          <w:numId w:val="1"/>
        </w:numPr>
        <w:autoSpaceDE w:val="0"/>
        <w:autoSpaceDN w:val="0"/>
        <w:adjustRightInd w:val="0"/>
        <w:spacing w:after="120" w:line="240" w:lineRule="auto"/>
        <w:ind w:left="567" w:hanging="567"/>
        <w:contextualSpacing w:val="0"/>
      </w:pPr>
      <w:r w:rsidRPr="00D0359F">
        <w:t>The first step to increase the number of people saving into pensions would be to increase the availability of workplace pension savings vehicles. This has been substantially addressed in the UK with the introduction of the auto-enrolment initiative. By 2018, all employers will be required to offer a workplace pension for eligible employees</w:t>
      </w:r>
      <w:bookmarkStart w:id="0" w:name="_Ref494043295"/>
      <w:r w:rsidR="00F87758">
        <w:rPr>
          <w:rStyle w:val="FootnoteReference"/>
        </w:rPr>
        <w:footnoteReference w:id="2"/>
      </w:r>
      <w:bookmarkEnd w:id="0"/>
      <w:r w:rsidRPr="00D0359F">
        <w:t xml:space="preserve">. Self-employed workers fall outside of the auto-enrolment requirement, although they can choose to set up a scheme, such as with the National Employment Savings Trust, a pension saving vehicle set up by the </w:t>
      </w:r>
      <w:r w:rsidRPr="00D0359F">
        <w:lastRenderedPageBreak/>
        <w:t>government. Therefore, the vast majority of people in the UK will have access to a workp</w:t>
      </w:r>
      <w:r w:rsidR="00F87758">
        <w:t>lace pension saving vehicle</w:t>
      </w:r>
      <w:r w:rsidR="00F87758">
        <w:rPr>
          <w:rStyle w:val="FootnoteReference"/>
        </w:rPr>
        <w:footnoteReference w:id="3"/>
      </w:r>
      <w:r w:rsidR="00F87758">
        <w:t>.</w:t>
      </w:r>
    </w:p>
    <w:p w:rsidR="00A726D3" w:rsidRPr="00A0755B" w:rsidRDefault="00A726D3" w:rsidP="00A726D3">
      <w:pPr>
        <w:pStyle w:val="ListParagraph"/>
        <w:autoSpaceDE w:val="0"/>
        <w:autoSpaceDN w:val="0"/>
        <w:adjustRightInd w:val="0"/>
        <w:spacing w:after="120" w:line="240" w:lineRule="auto"/>
        <w:ind w:left="567"/>
        <w:contextualSpacing w:val="0"/>
        <w:rPr>
          <w:b/>
          <w:sz w:val="24"/>
          <w:szCs w:val="24"/>
        </w:rPr>
      </w:pPr>
      <w:r w:rsidRPr="00A0755B">
        <w:rPr>
          <w:b/>
          <w:sz w:val="24"/>
          <w:szCs w:val="24"/>
        </w:rPr>
        <w:t>Automatic-enrolment</w:t>
      </w:r>
    </w:p>
    <w:p w:rsidR="00A726D3" w:rsidRPr="00D0359F" w:rsidRDefault="00A726D3" w:rsidP="00A726D3">
      <w:pPr>
        <w:pStyle w:val="ListParagraph"/>
        <w:numPr>
          <w:ilvl w:val="1"/>
          <w:numId w:val="1"/>
        </w:numPr>
        <w:autoSpaceDE w:val="0"/>
        <w:autoSpaceDN w:val="0"/>
        <w:adjustRightInd w:val="0"/>
        <w:spacing w:after="120" w:line="240" w:lineRule="auto"/>
        <w:ind w:left="567" w:hanging="567"/>
        <w:contextualSpacing w:val="0"/>
      </w:pPr>
      <w:r w:rsidRPr="00D0359F">
        <w:t>One of the most successful approaches to increasing member participation in workplace pensions around the world has been auto-enrolment. The fundamental idea is to enrol employees automatically into a workplace pension where opting out is possible but requires some action; the inertia effect then predicts relatively few people will subsequently opt-out.</w:t>
      </w:r>
    </w:p>
    <w:p w:rsidR="00A726D3" w:rsidRPr="00D0359F" w:rsidRDefault="00A726D3" w:rsidP="00A726D3">
      <w:pPr>
        <w:pStyle w:val="ListParagraph"/>
        <w:numPr>
          <w:ilvl w:val="1"/>
          <w:numId w:val="1"/>
        </w:numPr>
        <w:autoSpaceDE w:val="0"/>
        <w:autoSpaceDN w:val="0"/>
        <w:adjustRightInd w:val="0"/>
        <w:spacing w:after="120" w:line="240" w:lineRule="auto"/>
        <w:ind w:left="567" w:hanging="567"/>
        <w:contextualSpacing w:val="0"/>
      </w:pPr>
      <w:r w:rsidRPr="00D0359F">
        <w:t>The underlying structure of an auto-enrolment scheme can be crucial. On the one hand, people will opt out if their take home pay is reduced by too much. Higher opt-out rates could have large effects on savings at retirement and should be avoided; the PPI</w:t>
      </w:r>
      <w:bookmarkStart w:id="1" w:name="_Ref494043771"/>
      <w:r w:rsidR="00F87758">
        <w:rPr>
          <w:rStyle w:val="FootnoteReference"/>
        </w:rPr>
        <w:footnoteReference w:id="4"/>
      </w:r>
      <w:bookmarkEnd w:id="1"/>
      <w:r w:rsidR="00F87758">
        <w:t xml:space="preserve"> </w:t>
      </w:r>
      <w:r w:rsidRPr="00D0359F">
        <w:t>have shown that opting-out between age 30 and 40 and starting to save 10 years later could reduce retirement income by 32%. On the other hand, minimum contribution levels set by an authority such as a government or employer could be taken as a signal of adequacy as a savings rate. If these contribution levels are set too low, people could be saving too little, but with a false sense of security about their retirement income.</w:t>
      </w:r>
    </w:p>
    <w:p w:rsidR="00A726D3" w:rsidRPr="005A0C64" w:rsidRDefault="00A726D3" w:rsidP="00A726D3">
      <w:pPr>
        <w:pStyle w:val="ListParagraph"/>
        <w:numPr>
          <w:ilvl w:val="1"/>
          <w:numId w:val="1"/>
        </w:numPr>
        <w:autoSpaceDE w:val="0"/>
        <w:autoSpaceDN w:val="0"/>
        <w:adjustRightInd w:val="0"/>
        <w:spacing w:after="120" w:line="240" w:lineRule="auto"/>
        <w:ind w:left="567" w:hanging="567"/>
        <w:contextualSpacing w:val="0"/>
      </w:pPr>
      <w:r w:rsidRPr="00D0359F">
        <w:t>Auto-enrolment has been introduced in other countries in a variety of ways. In the USA the Pensions Protection Act 2006 introduced a number of incentives to encourage companies to automatically enrol their employees into a pension scheme</w:t>
      </w:r>
      <w:r>
        <w:t xml:space="preserve"> (schemes are </w:t>
      </w:r>
      <w:r w:rsidRPr="000F656B">
        <w:t>granted “safe harbo</w:t>
      </w:r>
      <w:r>
        <w:t>u</w:t>
      </w:r>
      <w:r w:rsidRPr="000F656B">
        <w:t xml:space="preserve">r” from a number of restrictive and expensive compliance regulations </w:t>
      </w:r>
      <w:r>
        <w:t>if they introduce auto enrolment in a certain form</w:t>
      </w:r>
      <w:bookmarkStart w:id="2" w:name="_Ref494045860"/>
      <w:r w:rsidR="0011676B">
        <w:rPr>
          <w:rStyle w:val="FootnoteReference"/>
        </w:rPr>
        <w:footnoteReference w:id="5"/>
      </w:r>
      <w:bookmarkEnd w:id="2"/>
      <w:r>
        <w:t>)</w:t>
      </w:r>
      <w:r w:rsidRPr="00D0359F">
        <w:t>. Contributions are broadly equal to 3% employee, 3% employer in year one with the employee contribution increasing each year until they reach 6% in year 4. These incentives</w:t>
      </w:r>
      <w:r w:rsidRPr="005A0C64">
        <w:t xml:space="preserve"> resulted in 56% of schemes in the USA operating auto-enrolment by 2011 with opt-out rates around 10%</w:t>
      </w:r>
      <w:bookmarkStart w:id="3" w:name="_Ref494045436"/>
      <w:r w:rsidR="00F87758">
        <w:rPr>
          <w:rStyle w:val="FootnoteReference"/>
        </w:rPr>
        <w:footnoteReference w:id="6"/>
      </w:r>
      <w:bookmarkEnd w:id="3"/>
      <w:r w:rsidRPr="005A0C64">
        <w:t>.</w:t>
      </w:r>
    </w:p>
    <w:p w:rsidR="00A726D3" w:rsidRPr="005A0C64" w:rsidRDefault="00A726D3" w:rsidP="00A726D3">
      <w:pPr>
        <w:pStyle w:val="ListParagraph"/>
        <w:numPr>
          <w:ilvl w:val="1"/>
          <w:numId w:val="1"/>
        </w:numPr>
        <w:autoSpaceDE w:val="0"/>
        <w:autoSpaceDN w:val="0"/>
        <w:adjustRightInd w:val="0"/>
        <w:spacing w:after="120" w:line="240" w:lineRule="auto"/>
        <w:ind w:left="567" w:hanging="567"/>
        <w:contextualSpacing w:val="0"/>
      </w:pPr>
      <w:r w:rsidRPr="005A0C64">
        <w:t xml:space="preserve">New Zealand have introduced the Kiwi Saver in 2007, which </w:t>
      </w:r>
      <w:r>
        <w:t xml:space="preserve">requires </w:t>
      </w:r>
      <w:r w:rsidRPr="005A0C64">
        <w:t>employers</w:t>
      </w:r>
      <w:r>
        <w:t xml:space="preserve"> to operate auto-enrolment</w:t>
      </w:r>
      <w:r w:rsidRPr="005A0C64">
        <w:t xml:space="preserve">. This is a government sponsored pension scheme, in which all new employees must be enrolled. The minimum contributions are currently set at 3% employee, 3% employer (although members can optionally increase this </w:t>
      </w:r>
      <w:r w:rsidR="00F87758">
        <w:t>to 4% employee, 4% employer)</w:t>
      </w:r>
      <w:r w:rsidR="00F87758">
        <w:rPr>
          <w:rStyle w:val="FootnoteReference"/>
        </w:rPr>
        <w:footnoteReference w:id="7"/>
      </w:r>
      <w:r w:rsidRPr="005A0C64">
        <w:t>. Kiwi Saver has had a significant effect on the number of active members of a pension scheme in New Zealand. One year after it was introduced 23.7% of 18-64 year olds were members, by 2015 this had increased to 76.5% with an opt-out rate of just 9.3%</w:t>
      </w:r>
      <w:r w:rsidR="008C2A15">
        <w:t>.</w:t>
      </w:r>
    </w:p>
    <w:p w:rsidR="00A726D3" w:rsidRPr="005A0C64" w:rsidRDefault="00A726D3" w:rsidP="00A726D3">
      <w:pPr>
        <w:pStyle w:val="ListParagraph"/>
        <w:numPr>
          <w:ilvl w:val="1"/>
          <w:numId w:val="1"/>
        </w:numPr>
        <w:autoSpaceDE w:val="0"/>
        <w:autoSpaceDN w:val="0"/>
        <w:adjustRightInd w:val="0"/>
        <w:spacing w:after="120" w:line="240" w:lineRule="auto"/>
        <w:ind w:left="567" w:hanging="567"/>
        <w:contextualSpacing w:val="0"/>
      </w:pPr>
      <w:r w:rsidRPr="005A0C64">
        <w:t xml:space="preserve">In the UK we have followed the example of New Zealand in </w:t>
      </w:r>
      <w:r>
        <w:t xml:space="preserve">requiring </w:t>
      </w:r>
      <w:r w:rsidRPr="005A0C64">
        <w:t>employers to operate auto-enrolment. The details of the system in the UK are:</w:t>
      </w:r>
    </w:p>
    <w:p w:rsidR="00A726D3" w:rsidRPr="005A0C64" w:rsidRDefault="00A726D3" w:rsidP="00A726D3">
      <w:pPr>
        <w:pStyle w:val="ListParagraph"/>
        <w:numPr>
          <w:ilvl w:val="0"/>
          <w:numId w:val="6"/>
        </w:numPr>
        <w:spacing w:after="120" w:line="240" w:lineRule="auto"/>
        <w:contextualSpacing w:val="0"/>
      </w:pPr>
      <w:r w:rsidRPr="005A0C64">
        <w:t>Key features</w:t>
      </w:r>
      <w:r w:rsidR="008C2A15" w:rsidRPr="008C2A15">
        <w:rPr>
          <w:rStyle w:val="FootnoteReference"/>
        </w:rPr>
        <w:fldChar w:fldCharType="begin"/>
      </w:r>
      <w:r w:rsidR="008C2A15" w:rsidRPr="008C2A15">
        <w:rPr>
          <w:rStyle w:val="FootnoteReference"/>
        </w:rPr>
        <w:instrText xml:space="preserve"> NOTEREF _Ref494043295 \h </w:instrText>
      </w:r>
      <w:r w:rsidR="008C2A15" w:rsidRPr="008C2A15">
        <w:rPr>
          <w:rStyle w:val="FootnoteReference"/>
        </w:rPr>
      </w:r>
      <w:r w:rsidR="008C2A15">
        <w:rPr>
          <w:rStyle w:val="FootnoteReference"/>
        </w:rPr>
        <w:instrText xml:space="preserve"> \* MERGEFORMAT </w:instrText>
      </w:r>
      <w:r w:rsidR="008C2A15" w:rsidRPr="008C2A15">
        <w:rPr>
          <w:rStyle w:val="FootnoteReference"/>
        </w:rPr>
        <w:fldChar w:fldCharType="separate"/>
      </w:r>
      <w:r w:rsidR="008C2A15" w:rsidRPr="008C2A15">
        <w:rPr>
          <w:rStyle w:val="FootnoteReference"/>
        </w:rPr>
        <w:t>2</w:t>
      </w:r>
      <w:r w:rsidR="008C2A15" w:rsidRPr="008C2A15">
        <w:rPr>
          <w:rStyle w:val="FootnoteReference"/>
        </w:rPr>
        <w:fldChar w:fldCharType="end"/>
      </w:r>
      <w:r w:rsidR="008C2A15" w:rsidRPr="008C2A15">
        <w:rPr>
          <w:vertAlign w:val="superscript"/>
        </w:rPr>
        <w:t>,</w:t>
      </w:r>
      <w:r w:rsidR="008C2A15">
        <w:rPr>
          <w:rStyle w:val="FootnoteReference"/>
        </w:rPr>
        <w:footnoteReference w:id="8"/>
      </w:r>
      <w:r w:rsidR="008C2A15" w:rsidRPr="008C2A15">
        <w:rPr>
          <w:vertAlign w:val="superscript"/>
        </w:rPr>
        <w:t>,</w:t>
      </w:r>
      <w:bookmarkStart w:id="4" w:name="_Ref494043450"/>
      <w:r w:rsidR="008C2A15">
        <w:rPr>
          <w:rStyle w:val="FootnoteReference"/>
        </w:rPr>
        <w:footnoteReference w:id="9"/>
      </w:r>
      <w:bookmarkEnd w:id="4"/>
      <w:r w:rsidRPr="005A0C64">
        <w:t xml:space="preserve"> </w:t>
      </w:r>
    </w:p>
    <w:p w:rsidR="00A726D3" w:rsidRPr="005A0C64" w:rsidRDefault="00A726D3" w:rsidP="00A726D3">
      <w:pPr>
        <w:pStyle w:val="ListParagraph"/>
        <w:numPr>
          <w:ilvl w:val="1"/>
          <w:numId w:val="6"/>
        </w:numPr>
        <w:spacing w:after="120" w:line="240" w:lineRule="auto"/>
        <w:contextualSpacing w:val="0"/>
      </w:pPr>
      <w:r w:rsidRPr="005A0C64">
        <w:t>First introduced in 2012</w:t>
      </w:r>
    </w:p>
    <w:p w:rsidR="00A726D3" w:rsidRPr="005A0C64" w:rsidRDefault="00A726D3" w:rsidP="00A726D3">
      <w:pPr>
        <w:pStyle w:val="ListParagraph"/>
        <w:numPr>
          <w:ilvl w:val="1"/>
          <w:numId w:val="6"/>
        </w:numPr>
        <w:spacing w:after="120" w:line="240" w:lineRule="auto"/>
        <w:contextualSpacing w:val="0"/>
      </w:pPr>
      <w:r w:rsidRPr="005A0C64">
        <w:t xml:space="preserve">Phased approach to participation with largest companies required to participate first. By 2018 all employers will be required to offer a workplace pension offering at least the minimum contributions and automatically </w:t>
      </w:r>
      <w:r>
        <w:t>enrol</w:t>
      </w:r>
      <w:r w:rsidRPr="005A0C64">
        <w:t xml:space="preserve"> eligible employees.</w:t>
      </w:r>
    </w:p>
    <w:p w:rsidR="00A726D3" w:rsidRPr="005A0C64" w:rsidRDefault="00A726D3" w:rsidP="00A726D3">
      <w:pPr>
        <w:pStyle w:val="ListParagraph"/>
        <w:numPr>
          <w:ilvl w:val="1"/>
          <w:numId w:val="6"/>
        </w:numPr>
        <w:spacing w:after="120" w:line="240" w:lineRule="auto"/>
        <w:contextualSpacing w:val="0"/>
      </w:pPr>
      <w:r w:rsidRPr="005A0C64">
        <w:lastRenderedPageBreak/>
        <w:t>Eligible employees are aged between 22 and State Pension Age and have a salary over a certain level (£10,000 p.a. currently).</w:t>
      </w:r>
    </w:p>
    <w:p w:rsidR="00A726D3" w:rsidRPr="005A0C64" w:rsidRDefault="00A726D3" w:rsidP="00A726D3">
      <w:pPr>
        <w:pStyle w:val="ListParagraph"/>
        <w:numPr>
          <w:ilvl w:val="1"/>
          <w:numId w:val="6"/>
        </w:numPr>
        <w:spacing w:after="120" w:line="240" w:lineRule="auto"/>
        <w:contextualSpacing w:val="0"/>
      </w:pPr>
      <w:r w:rsidRPr="005A0C64">
        <w:t xml:space="preserve">Contributions started at 1% employer, 2% total (of qualifying earnings) in 2012 and will increase to 3% employer, 8% total in 2019. </w:t>
      </w:r>
    </w:p>
    <w:p w:rsidR="00A726D3" w:rsidRPr="005A0C64" w:rsidRDefault="00A726D3" w:rsidP="00A726D3">
      <w:pPr>
        <w:pStyle w:val="ListParagraph"/>
        <w:numPr>
          <w:ilvl w:val="1"/>
          <w:numId w:val="6"/>
        </w:numPr>
        <w:spacing w:after="120" w:line="240" w:lineRule="auto"/>
        <w:contextualSpacing w:val="0"/>
      </w:pPr>
      <w:r w:rsidRPr="005A0C64">
        <w:t>Members can opt out at any time.</w:t>
      </w:r>
    </w:p>
    <w:p w:rsidR="00A726D3" w:rsidRPr="005A0C64" w:rsidRDefault="00A726D3" w:rsidP="00A726D3">
      <w:pPr>
        <w:pStyle w:val="ListParagraph"/>
        <w:numPr>
          <w:ilvl w:val="1"/>
          <w:numId w:val="6"/>
        </w:numPr>
        <w:spacing w:after="120" w:line="240" w:lineRule="auto"/>
        <w:contextualSpacing w:val="0"/>
      </w:pPr>
      <w:r w:rsidRPr="005A0C64">
        <w:t>From 2015, members have had complete freedom with how to withdraw DC funds from age 55, subject to their marginal rate of income tax on withdrawals in excess of the permitted tax-free lump sum.</w:t>
      </w:r>
    </w:p>
    <w:p w:rsidR="00A726D3" w:rsidRPr="005A0C64" w:rsidRDefault="00A726D3" w:rsidP="00A726D3">
      <w:pPr>
        <w:pStyle w:val="ListParagraph"/>
        <w:numPr>
          <w:ilvl w:val="0"/>
          <w:numId w:val="6"/>
        </w:numPr>
        <w:spacing w:after="120" w:line="240" w:lineRule="auto"/>
        <w:contextualSpacing w:val="0"/>
      </w:pPr>
      <w:r w:rsidRPr="005A0C64">
        <w:t>Measures</w:t>
      </w:r>
    </w:p>
    <w:p w:rsidR="00A726D3" w:rsidRPr="005A0C64" w:rsidRDefault="00A726D3" w:rsidP="00A726D3">
      <w:pPr>
        <w:pStyle w:val="ListParagraph"/>
        <w:numPr>
          <w:ilvl w:val="1"/>
          <w:numId w:val="6"/>
        </w:numPr>
        <w:spacing w:after="120" w:line="240" w:lineRule="auto"/>
        <w:contextualSpacing w:val="0"/>
      </w:pPr>
      <w:r w:rsidRPr="005A0C64">
        <w:t>Only 10% opt-out rate by 31 August 2015. The government expects no more than 15% opt-out by 2018</w:t>
      </w:r>
      <w:r w:rsidR="00D74B3C" w:rsidRPr="00D74B3C">
        <w:rPr>
          <w:vertAlign w:val="superscript"/>
        </w:rPr>
        <w:fldChar w:fldCharType="begin"/>
      </w:r>
      <w:r w:rsidR="00D74B3C" w:rsidRPr="00D74B3C">
        <w:rPr>
          <w:vertAlign w:val="superscript"/>
        </w:rPr>
        <w:instrText xml:space="preserve"> NOTEREF _Ref494043295 \h </w:instrText>
      </w:r>
      <w:r w:rsidR="00D74B3C" w:rsidRPr="00D74B3C">
        <w:rPr>
          <w:vertAlign w:val="superscript"/>
        </w:rPr>
      </w:r>
      <w:r w:rsidR="00D74B3C">
        <w:rPr>
          <w:vertAlign w:val="superscript"/>
        </w:rPr>
        <w:instrText xml:space="preserve"> \* MERGEFORMAT </w:instrText>
      </w:r>
      <w:r w:rsidR="00D74B3C" w:rsidRPr="00D74B3C">
        <w:rPr>
          <w:vertAlign w:val="superscript"/>
        </w:rPr>
        <w:fldChar w:fldCharType="separate"/>
      </w:r>
      <w:r w:rsidR="00D74B3C" w:rsidRPr="00D74B3C">
        <w:rPr>
          <w:vertAlign w:val="superscript"/>
        </w:rPr>
        <w:t>2</w:t>
      </w:r>
      <w:r w:rsidR="00D74B3C" w:rsidRPr="00D74B3C">
        <w:rPr>
          <w:vertAlign w:val="superscript"/>
        </w:rPr>
        <w:fldChar w:fldCharType="end"/>
      </w:r>
      <w:r w:rsidR="00D74B3C">
        <w:t>.</w:t>
      </w:r>
    </w:p>
    <w:p w:rsidR="00A726D3" w:rsidRPr="005A0C64" w:rsidRDefault="00A726D3" w:rsidP="00A726D3">
      <w:pPr>
        <w:pStyle w:val="ListParagraph"/>
        <w:numPr>
          <w:ilvl w:val="1"/>
          <w:numId w:val="6"/>
        </w:numPr>
        <w:spacing w:after="120" w:line="240" w:lineRule="auto"/>
        <w:contextualSpacing w:val="0"/>
      </w:pPr>
      <w:r w:rsidRPr="005A0C64">
        <w:t>Auto-</w:t>
      </w:r>
      <w:r>
        <w:t>enrolled</w:t>
      </w:r>
      <w:r w:rsidRPr="005A0C64">
        <w:t xml:space="preserve"> members: 6% in DB, 5% in Hybrid, 89% in DC</w:t>
      </w:r>
      <w:r w:rsidR="00D74B3C" w:rsidRPr="00D74B3C">
        <w:rPr>
          <w:vertAlign w:val="superscript"/>
        </w:rPr>
        <w:fldChar w:fldCharType="begin"/>
      </w:r>
      <w:r w:rsidR="00D74B3C" w:rsidRPr="00D74B3C">
        <w:rPr>
          <w:vertAlign w:val="superscript"/>
        </w:rPr>
        <w:instrText xml:space="preserve"> NOTEREF _Ref494043295 \h </w:instrText>
      </w:r>
      <w:r w:rsidR="00D74B3C" w:rsidRPr="00D74B3C">
        <w:rPr>
          <w:vertAlign w:val="superscript"/>
        </w:rPr>
      </w:r>
      <w:r w:rsidR="00D74B3C">
        <w:rPr>
          <w:vertAlign w:val="superscript"/>
        </w:rPr>
        <w:instrText xml:space="preserve"> \* MERGEFORMAT </w:instrText>
      </w:r>
      <w:r w:rsidR="00D74B3C" w:rsidRPr="00D74B3C">
        <w:rPr>
          <w:vertAlign w:val="superscript"/>
        </w:rPr>
        <w:fldChar w:fldCharType="separate"/>
      </w:r>
      <w:r w:rsidR="00D74B3C" w:rsidRPr="00D74B3C">
        <w:rPr>
          <w:vertAlign w:val="superscript"/>
        </w:rPr>
        <w:t>2</w:t>
      </w:r>
      <w:r w:rsidR="00D74B3C" w:rsidRPr="00D74B3C">
        <w:rPr>
          <w:vertAlign w:val="superscript"/>
        </w:rPr>
        <w:fldChar w:fldCharType="end"/>
      </w:r>
      <w:r w:rsidR="00D74B3C">
        <w:t>.</w:t>
      </w:r>
    </w:p>
    <w:p w:rsidR="00A726D3" w:rsidRPr="005A0C64" w:rsidRDefault="00A726D3" w:rsidP="00A726D3">
      <w:pPr>
        <w:pStyle w:val="ListParagraph"/>
        <w:numPr>
          <w:ilvl w:val="1"/>
          <w:numId w:val="6"/>
        </w:numPr>
        <w:spacing w:after="120" w:line="240" w:lineRule="auto"/>
        <w:contextualSpacing w:val="0"/>
      </w:pPr>
      <w:r w:rsidRPr="00A0755B">
        <w:t>According to the DWP, 15.1m (75% of) eligible employees were contributing to a workplace pension by 2015 compared to 10.7m (55%) in 2012</w:t>
      </w:r>
      <w:r w:rsidR="00D74B3C" w:rsidRPr="00D74B3C">
        <w:rPr>
          <w:vertAlign w:val="superscript"/>
        </w:rPr>
        <w:fldChar w:fldCharType="begin"/>
      </w:r>
      <w:r w:rsidR="00D74B3C" w:rsidRPr="00D74B3C">
        <w:rPr>
          <w:vertAlign w:val="superscript"/>
        </w:rPr>
        <w:instrText xml:space="preserve"> NOTEREF _Ref494043450 \h </w:instrText>
      </w:r>
      <w:r w:rsidR="00D74B3C" w:rsidRPr="00D74B3C">
        <w:rPr>
          <w:vertAlign w:val="superscript"/>
        </w:rPr>
      </w:r>
      <w:r w:rsidR="00D74B3C">
        <w:rPr>
          <w:vertAlign w:val="superscript"/>
        </w:rPr>
        <w:instrText xml:space="preserve"> \* MERGEFORMAT </w:instrText>
      </w:r>
      <w:r w:rsidR="00D74B3C" w:rsidRPr="00D74B3C">
        <w:rPr>
          <w:vertAlign w:val="superscript"/>
        </w:rPr>
        <w:fldChar w:fldCharType="separate"/>
      </w:r>
      <w:r w:rsidR="00D74B3C" w:rsidRPr="00D74B3C">
        <w:rPr>
          <w:vertAlign w:val="superscript"/>
        </w:rPr>
        <w:t>8</w:t>
      </w:r>
      <w:r w:rsidR="00D74B3C" w:rsidRPr="00D74B3C">
        <w:rPr>
          <w:vertAlign w:val="superscript"/>
        </w:rPr>
        <w:fldChar w:fldCharType="end"/>
      </w:r>
      <w:r w:rsidR="00D74B3C">
        <w:t xml:space="preserve">. </w:t>
      </w:r>
      <w:r w:rsidRPr="00A0755B">
        <w:t>This should increase further as the rollout of auto-enrolment is completed early next year.</w:t>
      </w:r>
    </w:p>
    <w:p w:rsidR="00A726D3" w:rsidRPr="005A0C64" w:rsidRDefault="00A726D3" w:rsidP="00A726D3">
      <w:pPr>
        <w:pStyle w:val="ListParagraph"/>
        <w:numPr>
          <w:ilvl w:val="1"/>
          <w:numId w:val="6"/>
        </w:numPr>
        <w:spacing w:after="120" w:line="240" w:lineRule="auto"/>
        <w:contextualSpacing w:val="0"/>
      </w:pPr>
      <w:r w:rsidRPr="00A0755B">
        <w:rPr>
          <w:sz w:val="23"/>
          <w:szCs w:val="23"/>
        </w:rPr>
        <w:t>Auto-enrolment also appears to be having a larger effect on younger and lower paid workers, groups whose coverage was lower before the introduction of auto-enrolment</w:t>
      </w:r>
      <w:r w:rsidR="00D74B3C" w:rsidRPr="00D74B3C">
        <w:rPr>
          <w:sz w:val="23"/>
          <w:szCs w:val="23"/>
          <w:vertAlign w:val="superscript"/>
        </w:rPr>
        <w:fldChar w:fldCharType="begin"/>
      </w:r>
      <w:r w:rsidR="00D74B3C" w:rsidRPr="00D74B3C">
        <w:rPr>
          <w:sz w:val="23"/>
          <w:szCs w:val="23"/>
          <w:vertAlign w:val="superscript"/>
        </w:rPr>
        <w:instrText xml:space="preserve"> NOTEREF _Ref494043295 \h </w:instrText>
      </w:r>
      <w:r w:rsidR="00D74B3C" w:rsidRPr="00D74B3C">
        <w:rPr>
          <w:sz w:val="23"/>
          <w:szCs w:val="23"/>
          <w:vertAlign w:val="superscript"/>
        </w:rPr>
      </w:r>
      <w:r w:rsidR="00D74B3C">
        <w:rPr>
          <w:sz w:val="23"/>
          <w:szCs w:val="23"/>
          <w:vertAlign w:val="superscript"/>
        </w:rPr>
        <w:instrText xml:space="preserve"> \* MERGEFORMAT </w:instrText>
      </w:r>
      <w:r w:rsidR="00D74B3C" w:rsidRPr="00D74B3C">
        <w:rPr>
          <w:sz w:val="23"/>
          <w:szCs w:val="23"/>
          <w:vertAlign w:val="superscript"/>
        </w:rPr>
        <w:fldChar w:fldCharType="separate"/>
      </w:r>
      <w:r w:rsidR="00D74B3C" w:rsidRPr="00D74B3C">
        <w:rPr>
          <w:sz w:val="23"/>
          <w:szCs w:val="23"/>
          <w:vertAlign w:val="superscript"/>
        </w:rPr>
        <w:t>2</w:t>
      </w:r>
      <w:r w:rsidR="00D74B3C" w:rsidRPr="00D74B3C">
        <w:rPr>
          <w:sz w:val="23"/>
          <w:szCs w:val="23"/>
          <w:vertAlign w:val="superscript"/>
        </w:rPr>
        <w:fldChar w:fldCharType="end"/>
      </w:r>
      <w:proofErr w:type="gramStart"/>
      <w:r w:rsidR="00D74B3C" w:rsidRPr="00D74B3C">
        <w:rPr>
          <w:sz w:val="23"/>
          <w:szCs w:val="23"/>
          <w:vertAlign w:val="superscript"/>
        </w:rPr>
        <w:t>,</w:t>
      </w:r>
      <w:proofErr w:type="gramEnd"/>
      <w:r w:rsidR="00D74B3C" w:rsidRPr="00D74B3C">
        <w:rPr>
          <w:sz w:val="23"/>
          <w:szCs w:val="23"/>
          <w:vertAlign w:val="superscript"/>
        </w:rPr>
        <w:fldChar w:fldCharType="begin"/>
      </w:r>
      <w:r w:rsidR="00D74B3C" w:rsidRPr="00D74B3C">
        <w:rPr>
          <w:sz w:val="23"/>
          <w:szCs w:val="23"/>
          <w:vertAlign w:val="superscript"/>
        </w:rPr>
        <w:instrText xml:space="preserve"> NOTEREF _Ref494043450 \h </w:instrText>
      </w:r>
      <w:r w:rsidR="00D74B3C" w:rsidRPr="00D74B3C">
        <w:rPr>
          <w:sz w:val="23"/>
          <w:szCs w:val="23"/>
          <w:vertAlign w:val="superscript"/>
        </w:rPr>
      </w:r>
      <w:r w:rsidR="00D74B3C">
        <w:rPr>
          <w:sz w:val="23"/>
          <w:szCs w:val="23"/>
          <w:vertAlign w:val="superscript"/>
        </w:rPr>
        <w:instrText xml:space="preserve"> \* MERGEFORMAT </w:instrText>
      </w:r>
      <w:r w:rsidR="00D74B3C" w:rsidRPr="00D74B3C">
        <w:rPr>
          <w:sz w:val="23"/>
          <w:szCs w:val="23"/>
          <w:vertAlign w:val="superscript"/>
        </w:rPr>
        <w:fldChar w:fldCharType="separate"/>
      </w:r>
      <w:r w:rsidR="00D74B3C" w:rsidRPr="00D74B3C">
        <w:rPr>
          <w:sz w:val="23"/>
          <w:szCs w:val="23"/>
          <w:vertAlign w:val="superscript"/>
        </w:rPr>
        <w:t>8</w:t>
      </w:r>
      <w:r w:rsidR="00D74B3C" w:rsidRPr="00D74B3C">
        <w:rPr>
          <w:sz w:val="23"/>
          <w:szCs w:val="23"/>
          <w:vertAlign w:val="superscript"/>
        </w:rPr>
        <w:fldChar w:fldCharType="end"/>
      </w:r>
      <w:r w:rsidR="00D74B3C">
        <w:rPr>
          <w:sz w:val="23"/>
          <w:szCs w:val="23"/>
        </w:rPr>
        <w:t>.</w:t>
      </w:r>
    </w:p>
    <w:p w:rsidR="00A726D3" w:rsidRPr="005A0C64" w:rsidRDefault="00A726D3" w:rsidP="00A726D3">
      <w:pPr>
        <w:pStyle w:val="ListParagraph"/>
        <w:numPr>
          <w:ilvl w:val="1"/>
          <w:numId w:val="1"/>
        </w:numPr>
        <w:autoSpaceDE w:val="0"/>
        <w:autoSpaceDN w:val="0"/>
        <w:adjustRightInd w:val="0"/>
        <w:spacing w:after="120" w:line="240" w:lineRule="auto"/>
        <w:ind w:left="567" w:hanging="567"/>
        <w:contextualSpacing w:val="0"/>
      </w:pPr>
      <w:r w:rsidRPr="005A0C64">
        <w:t xml:space="preserve">To date auto-enrolment in the UK has widely been viewed as a success at </w:t>
      </w:r>
      <w:proofErr w:type="spellStart"/>
      <w:r>
        <w:t>enrol</w:t>
      </w:r>
      <w:r w:rsidRPr="005A0C64">
        <w:t>ing</w:t>
      </w:r>
      <w:proofErr w:type="spellEnd"/>
      <w:r w:rsidRPr="005A0C64">
        <w:t xml:space="preserve"> new savers into pension schemes, although we are not yet at a point where we can fully judge the impact. Whereas a 10% opt-out rate is fairly low and consistent with similar experience in other countries, the smallest companies are still introducing the system so we could yet see a rise in the opt-out rate. </w:t>
      </w:r>
    </w:p>
    <w:p w:rsidR="00A726D3" w:rsidRPr="005A0C64" w:rsidRDefault="00A726D3" w:rsidP="00A726D3">
      <w:pPr>
        <w:pStyle w:val="ListParagraph"/>
        <w:numPr>
          <w:ilvl w:val="1"/>
          <w:numId w:val="1"/>
        </w:numPr>
        <w:autoSpaceDE w:val="0"/>
        <w:autoSpaceDN w:val="0"/>
        <w:adjustRightInd w:val="0"/>
        <w:spacing w:after="120" w:line="240" w:lineRule="auto"/>
        <w:ind w:left="567" w:hanging="567"/>
        <w:contextualSpacing w:val="0"/>
      </w:pPr>
      <w:r w:rsidRPr="005A0C64">
        <w:t xml:space="preserve">There are also a number of workers who slip through the net of auto-enrolment. A lower limit of pay to be </w:t>
      </w:r>
      <w:r>
        <w:t>enrolled</w:t>
      </w:r>
      <w:r w:rsidRPr="005A0C64">
        <w:t xml:space="preserve"> seems reasonable as employees with low earnings would receive a large replacement ratio at retirement from State benefits, but there has been some questions over whether the limit should be reduced from the current level of £10,000. Also, workers who hold a number of different jobs, whose combined salary would otherwise have made them eligible for auto-enrolment, will miss out</w:t>
      </w:r>
      <w:r w:rsidR="00D74B3C">
        <w:rPr>
          <w:rStyle w:val="FootnoteReference"/>
        </w:rPr>
        <w:footnoteReference w:id="10"/>
      </w:r>
      <w:r w:rsidR="00D74B3C">
        <w:t>.</w:t>
      </w:r>
      <w:r w:rsidRPr="005A0C64">
        <w:t xml:space="preserve"> </w:t>
      </w:r>
    </w:p>
    <w:p w:rsidR="00A726D3" w:rsidRPr="005A0C64" w:rsidRDefault="00A726D3" w:rsidP="00A726D3">
      <w:pPr>
        <w:pStyle w:val="ListParagraph"/>
        <w:numPr>
          <w:ilvl w:val="1"/>
          <w:numId w:val="1"/>
        </w:numPr>
        <w:autoSpaceDE w:val="0"/>
        <w:autoSpaceDN w:val="0"/>
        <w:adjustRightInd w:val="0"/>
        <w:spacing w:after="120" w:line="240" w:lineRule="auto"/>
        <w:ind w:left="567" w:hanging="567"/>
        <w:contextualSpacing w:val="0"/>
      </w:pPr>
      <w:r w:rsidRPr="005A0C64">
        <w:t>Self-employed workers are also not covered by the scheme. Steve Webb</w:t>
      </w:r>
      <w:r>
        <w:t>, a former UK pensions minister,</w:t>
      </w:r>
      <w:r w:rsidRPr="005A0C64">
        <w:t xml:space="preserve"> has recently suggested an extension of NI in the</w:t>
      </w:r>
      <w:r w:rsidR="000C4C2B">
        <w:t xml:space="preserve"> UK to address this problem</w:t>
      </w:r>
      <w:r w:rsidR="000C4C2B">
        <w:rPr>
          <w:rStyle w:val="FootnoteReference"/>
        </w:rPr>
        <w:footnoteReference w:id="11"/>
      </w:r>
      <w:r w:rsidRPr="005A0C64">
        <w:t>; namely to increase NI contributions for self-employed workers from 9% to 12% (to the same level as other employees) and give them the choice of this extra 3% either going to the Treasury or into a pension. Allowing people the option to opt-out of these extra contributions would be consistent with the philosophy of auto-enrolment.</w:t>
      </w:r>
    </w:p>
    <w:p w:rsidR="00A726D3" w:rsidRPr="005A0C64" w:rsidRDefault="00A726D3" w:rsidP="00A726D3">
      <w:pPr>
        <w:pStyle w:val="ListParagraph"/>
        <w:numPr>
          <w:ilvl w:val="1"/>
          <w:numId w:val="1"/>
        </w:numPr>
        <w:autoSpaceDE w:val="0"/>
        <w:autoSpaceDN w:val="0"/>
        <w:adjustRightInd w:val="0"/>
        <w:spacing w:after="120" w:line="240" w:lineRule="auto"/>
        <w:ind w:left="567" w:hanging="567"/>
        <w:contextualSpacing w:val="0"/>
      </w:pPr>
      <w:r w:rsidRPr="005A0C64">
        <w:t xml:space="preserve">Another key criticism of auto-enrolment in the UK has been the level of contributions. </w:t>
      </w:r>
      <w:r w:rsidR="000869FE">
        <w:t>T</w:t>
      </w:r>
      <w:r w:rsidRPr="005A0C64">
        <w:t>he PLSA show</w:t>
      </w:r>
      <w:bookmarkStart w:id="5" w:name="_Ref494045064"/>
      <w:r w:rsidR="000869FE">
        <w:rPr>
          <w:rStyle w:val="FootnoteReference"/>
        </w:rPr>
        <w:footnoteReference w:id="12"/>
      </w:r>
      <w:bookmarkEnd w:id="5"/>
      <w:r w:rsidRPr="005A0C64">
        <w:t xml:space="preserve"> that the 8% minimum contribution will be insufficient for 97% of DC savers in the UK. (They project wealth figures from the Wealth and Assets survey to retirement and assess adequacy against the Pension Commission’s targets. Based on future contributions of 8% they show that 97% of the population with DC only savings have a less than 40% chance of reaching their retirement targets).  In addition, the PPI calculate (in 2015) that 11-14% contributions are needed from age 22 to achieve a 2/3</w:t>
      </w:r>
      <w:r w:rsidRPr="005A0C64">
        <w:rPr>
          <w:vertAlign w:val="superscript"/>
        </w:rPr>
        <w:t>rd</w:t>
      </w:r>
      <w:r w:rsidRPr="005A0C64">
        <w:t xml:space="preserve"> chance of replicating working living standards in retirement, rising to as much as 27% if contributions start later</w:t>
      </w:r>
      <w:r w:rsidR="00075F55" w:rsidRPr="00075F55">
        <w:rPr>
          <w:vertAlign w:val="superscript"/>
        </w:rPr>
        <w:fldChar w:fldCharType="begin"/>
      </w:r>
      <w:r w:rsidR="00075F55" w:rsidRPr="00075F55">
        <w:rPr>
          <w:vertAlign w:val="superscript"/>
        </w:rPr>
        <w:instrText xml:space="preserve"> NOTEREF _Ref494043771 \h </w:instrText>
      </w:r>
      <w:r w:rsidR="00075F55" w:rsidRPr="00075F55">
        <w:rPr>
          <w:vertAlign w:val="superscript"/>
        </w:rPr>
      </w:r>
      <w:r w:rsidR="00075F55">
        <w:rPr>
          <w:vertAlign w:val="superscript"/>
        </w:rPr>
        <w:instrText xml:space="preserve"> \* MERGEFORMAT </w:instrText>
      </w:r>
      <w:r w:rsidR="00075F55" w:rsidRPr="00075F55">
        <w:rPr>
          <w:vertAlign w:val="superscript"/>
        </w:rPr>
        <w:fldChar w:fldCharType="separate"/>
      </w:r>
      <w:r w:rsidR="00075F55" w:rsidRPr="00075F55">
        <w:rPr>
          <w:vertAlign w:val="superscript"/>
        </w:rPr>
        <w:t>4</w:t>
      </w:r>
      <w:r w:rsidR="00075F55" w:rsidRPr="00075F55">
        <w:rPr>
          <w:vertAlign w:val="superscript"/>
        </w:rPr>
        <w:fldChar w:fldCharType="end"/>
      </w:r>
      <w:r w:rsidR="00075F55">
        <w:t>.</w:t>
      </w:r>
    </w:p>
    <w:p w:rsidR="00A726D3" w:rsidRPr="005A0C64" w:rsidRDefault="00A726D3" w:rsidP="00A726D3">
      <w:pPr>
        <w:pStyle w:val="ListParagraph"/>
        <w:numPr>
          <w:ilvl w:val="1"/>
          <w:numId w:val="1"/>
        </w:numPr>
        <w:autoSpaceDE w:val="0"/>
        <w:autoSpaceDN w:val="0"/>
        <w:adjustRightInd w:val="0"/>
        <w:spacing w:after="120" w:line="240" w:lineRule="auto"/>
        <w:ind w:left="567" w:hanging="567"/>
        <w:contextualSpacing w:val="0"/>
      </w:pPr>
      <w:r w:rsidRPr="005A0C64">
        <w:lastRenderedPageBreak/>
        <w:t xml:space="preserve">One question that is frequently asked is whether auto-enrolment into a pension scheme is actually increasing individuals’ savings or merely diverting it from other savings vehicles. However, results measuring household wealth in Denmark suggest that for employees who are automatically </w:t>
      </w:r>
      <w:r>
        <w:t>enrolled</w:t>
      </w:r>
      <w:r w:rsidRPr="005A0C64">
        <w:t xml:space="preserve"> into a pension scheme, 85% of the savings are new</w:t>
      </w:r>
      <w:r w:rsidR="00D63F0D">
        <w:rPr>
          <w:rStyle w:val="FootnoteReference"/>
        </w:rPr>
        <w:footnoteReference w:id="13"/>
      </w:r>
      <w:r w:rsidR="00D63F0D">
        <w:t>.</w:t>
      </w:r>
    </w:p>
    <w:p w:rsidR="00A726D3" w:rsidRPr="005A0C64" w:rsidRDefault="00A726D3" w:rsidP="00A726D3">
      <w:pPr>
        <w:pStyle w:val="ListParagraph"/>
        <w:numPr>
          <w:ilvl w:val="1"/>
          <w:numId w:val="1"/>
        </w:numPr>
        <w:autoSpaceDE w:val="0"/>
        <w:autoSpaceDN w:val="0"/>
        <w:adjustRightInd w:val="0"/>
        <w:spacing w:after="120" w:line="240" w:lineRule="auto"/>
        <w:ind w:left="567" w:hanging="567"/>
        <w:contextualSpacing w:val="0"/>
      </w:pPr>
      <w:r w:rsidRPr="005A0C64">
        <w:t>The OECD</w:t>
      </w:r>
      <w:bookmarkStart w:id="6" w:name="_Ref494044219"/>
      <w:r w:rsidR="00201CE1">
        <w:rPr>
          <w:rStyle w:val="FootnoteReference"/>
        </w:rPr>
        <w:footnoteReference w:id="14"/>
      </w:r>
      <w:bookmarkEnd w:id="6"/>
      <w:r w:rsidR="00201CE1">
        <w:t xml:space="preserve"> </w:t>
      </w:r>
      <w:r w:rsidRPr="005A0C64">
        <w:t>highlight that the level of success of automatic enrolment schemes depend</w:t>
      </w:r>
      <w:r>
        <w:t>s</w:t>
      </w:r>
      <w:r w:rsidRPr="005A0C64">
        <w:t xml:space="preserve"> on a number of factors: their design, the communication and education campaigns that accompany their launch and the interaction with other existing incentives. Further to this, a summary of policies shown to compl</w:t>
      </w:r>
      <w:r>
        <w:t>e</w:t>
      </w:r>
      <w:r w:rsidRPr="005A0C64">
        <w:t>me</w:t>
      </w:r>
      <w:r w:rsidR="00FE113A">
        <w:t>nt auto-enrolment are set out by the DWP</w:t>
      </w:r>
      <w:r w:rsidR="00FE113A">
        <w:rPr>
          <w:rStyle w:val="FootnoteReference"/>
        </w:rPr>
        <w:footnoteReference w:id="15"/>
      </w:r>
      <w:r w:rsidRPr="005A0C64">
        <w:t xml:space="preserve"> (the majority of which are present in the UK system):</w:t>
      </w:r>
    </w:p>
    <w:p w:rsidR="00A726D3" w:rsidRPr="005A0C64" w:rsidRDefault="00A726D3" w:rsidP="00A726D3">
      <w:pPr>
        <w:pStyle w:val="ListParagraph"/>
        <w:numPr>
          <w:ilvl w:val="0"/>
          <w:numId w:val="5"/>
        </w:numPr>
        <w:spacing w:after="120" w:line="240" w:lineRule="auto"/>
        <w:contextualSpacing w:val="0"/>
      </w:pPr>
      <w:r w:rsidRPr="005A0C64">
        <w:t xml:space="preserve">The </w:t>
      </w:r>
      <w:r>
        <w:t>way</w:t>
      </w:r>
      <w:r w:rsidRPr="005A0C64">
        <w:t xml:space="preserve"> any matched contribution from the employer or government</w:t>
      </w:r>
      <w:r>
        <w:t xml:space="preserve"> is communicated to the employee</w:t>
      </w:r>
      <w:r w:rsidRPr="005A0C64">
        <w:t xml:space="preserve">; </w:t>
      </w:r>
    </w:p>
    <w:p w:rsidR="00A726D3" w:rsidRPr="005A0C64" w:rsidRDefault="00A726D3" w:rsidP="00A726D3">
      <w:pPr>
        <w:pStyle w:val="ListParagraph"/>
        <w:numPr>
          <w:ilvl w:val="0"/>
          <w:numId w:val="5"/>
        </w:numPr>
        <w:spacing w:after="120" w:line="240" w:lineRule="auto"/>
        <w:contextualSpacing w:val="0"/>
      </w:pPr>
      <w:r w:rsidRPr="005A0C64">
        <w:t>Any other associated incentives, such as the ability to withdraw funds early or the form in which they can withdraw funds;</w:t>
      </w:r>
    </w:p>
    <w:p w:rsidR="00A726D3" w:rsidRPr="005A0C64" w:rsidRDefault="00A726D3" w:rsidP="00A726D3">
      <w:pPr>
        <w:pStyle w:val="ListParagraph"/>
        <w:numPr>
          <w:ilvl w:val="0"/>
          <w:numId w:val="5"/>
        </w:numPr>
        <w:spacing w:after="120" w:line="240" w:lineRule="auto"/>
        <w:contextualSpacing w:val="0"/>
      </w:pPr>
      <w:r w:rsidRPr="005A0C64">
        <w:t>Making choices and the ‘default’ option as simple and straightforward as possible;</w:t>
      </w:r>
    </w:p>
    <w:p w:rsidR="00A726D3" w:rsidRPr="005A0C64" w:rsidRDefault="00A726D3" w:rsidP="00A726D3">
      <w:pPr>
        <w:pStyle w:val="ListParagraph"/>
        <w:numPr>
          <w:ilvl w:val="0"/>
          <w:numId w:val="5"/>
        </w:numPr>
        <w:spacing w:after="120" w:line="240" w:lineRule="auto"/>
        <w:contextualSpacing w:val="0"/>
      </w:pPr>
      <w:r w:rsidRPr="005A0C64">
        <w:t xml:space="preserve">Allowing those automatically </w:t>
      </w:r>
      <w:r>
        <w:t>enrolled</w:t>
      </w:r>
      <w:r w:rsidRPr="005A0C64">
        <w:t xml:space="preserve"> as much freedom to procrastinate as possible. In the UK, people are allowed to withdraw at any time;</w:t>
      </w:r>
    </w:p>
    <w:p w:rsidR="00A726D3" w:rsidRPr="005A0C64" w:rsidRDefault="00A726D3" w:rsidP="00A726D3">
      <w:pPr>
        <w:pStyle w:val="ListParagraph"/>
        <w:numPr>
          <w:ilvl w:val="0"/>
          <w:numId w:val="5"/>
        </w:numPr>
        <w:spacing w:after="120" w:line="240" w:lineRule="auto"/>
        <w:contextualSpacing w:val="0"/>
      </w:pPr>
      <w:r w:rsidRPr="005A0C64">
        <w:t xml:space="preserve">Delaying the perceived impact of decisions (the longer the delay in </w:t>
      </w:r>
      <w:r w:rsidRPr="00A0755B">
        <w:t>realising</w:t>
      </w:r>
      <w:r w:rsidRPr="005A0C64">
        <w:t xml:space="preserve"> the impacts of the default decision, the easier it should be to choose the default: for example, the effects of making a decision about increasing pension saving from future income are easier to accommodate mentally than making a decision now that impacts on current income);</w:t>
      </w:r>
    </w:p>
    <w:p w:rsidR="00A726D3" w:rsidRPr="005A0C64" w:rsidRDefault="00A726D3" w:rsidP="00A726D3">
      <w:pPr>
        <w:pStyle w:val="ListParagraph"/>
        <w:numPr>
          <w:ilvl w:val="0"/>
          <w:numId w:val="5"/>
        </w:numPr>
        <w:spacing w:after="120" w:line="240" w:lineRule="auto"/>
        <w:contextualSpacing w:val="0"/>
      </w:pPr>
      <w:r w:rsidRPr="005A0C64">
        <w:t>Presenting default options that are not only simple but also familiar concepts to people;</w:t>
      </w:r>
    </w:p>
    <w:p w:rsidR="00A726D3" w:rsidRPr="005A0C64" w:rsidRDefault="00A726D3" w:rsidP="00A726D3">
      <w:pPr>
        <w:pStyle w:val="ListParagraph"/>
        <w:numPr>
          <w:ilvl w:val="0"/>
          <w:numId w:val="5"/>
        </w:numPr>
        <w:spacing w:after="120" w:line="240" w:lineRule="auto"/>
        <w:contextualSpacing w:val="0"/>
      </w:pPr>
      <w:r w:rsidRPr="005A0C64">
        <w:t xml:space="preserve">Any prior competing claims on people’s incomes. </w:t>
      </w:r>
    </w:p>
    <w:p w:rsidR="00A726D3" w:rsidRPr="00A0755B" w:rsidRDefault="00A726D3" w:rsidP="00A726D3">
      <w:pPr>
        <w:pStyle w:val="ListParagraph"/>
        <w:autoSpaceDE w:val="0"/>
        <w:autoSpaceDN w:val="0"/>
        <w:adjustRightInd w:val="0"/>
        <w:spacing w:after="120" w:line="240" w:lineRule="auto"/>
        <w:ind w:left="567"/>
        <w:contextualSpacing w:val="0"/>
        <w:rPr>
          <w:b/>
          <w:sz w:val="24"/>
          <w:szCs w:val="24"/>
        </w:rPr>
      </w:pPr>
      <w:r w:rsidRPr="00A0755B">
        <w:rPr>
          <w:b/>
          <w:sz w:val="24"/>
          <w:szCs w:val="24"/>
        </w:rPr>
        <w:t>Compulsory contributions</w:t>
      </w:r>
    </w:p>
    <w:p w:rsidR="00A726D3" w:rsidRPr="005A0C64" w:rsidRDefault="00A726D3" w:rsidP="00A726D3">
      <w:pPr>
        <w:pStyle w:val="ListParagraph"/>
        <w:numPr>
          <w:ilvl w:val="1"/>
          <w:numId w:val="1"/>
        </w:numPr>
        <w:autoSpaceDE w:val="0"/>
        <w:autoSpaceDN w:val="0"/>
        <w:adjustRightInd w:val="0"/>
        <w:spacing w:after="120" w:line="240" w:lineRule="auto"/>
        <w:ind w:left="567" w:hanging="567"/>
        <w:contextualSpacing w:val="0"/>
      </w:pPr>
      <w:r w:rsidRPr="005A0C64">
        <w:t>Compulsory pension contributions could be seen as an obvious way to increase individuals’ pension savings</w:t>
      </w:r>
      <w:r>
        <w:t xml:space="preserve"> and has considerable merit in ensuring that everyone saves for their retirement</w:t>
      </w:r>
      <w:r w:rsidRPr="005A0C64">
        <w:t>. This approach has been taken in Australia and many</w:t>
      </w:r>
      <w:r w:rsidR="00A43726">
        <w:rPr>
          <w:rStyle w:val="FootnoteReference"/>
        </w:rPr>
        <w:footnoteReference w:id="16"/>
      </w:r>
      <w:r w:rsidR="00A43726" w:rsidRPr="00A43726">
        <w:rPr>
          <w:vertAlign w:val="superscript"/>
        </w:rPr>
        <w:t>,</w:t>
      </w:r>
      <w:bookmarkStart w:id="7" w:name="_Ref494044299"/>
      <w:r w:rsidR="00A43726">
        <w:rPr>
          <w:rStyle w:val="FootnoteReference"/>
        </w:rPr>
        <w:footnoteReference w:id="17"/>
      </w:r>
      <w:bookmarkEnd w:id="7"/>
      <w:r w:rsidR="00A43726">
        <w:t xml:space="preserve"> </w:t>
      </w:r>
      <w:r w:rsidRPr="005A0C64">
        <w:t>cite this as a good example of a country acting to address the pension problem it faces. However, there has not been complete support for this approach.</w:t>
      </w:r>
    </w:p>
    <w:p w:rsidR="00A726D3" w:rsidRPr="005A0C64" w:rsidRDefault="00A726D3" w:rsidP="00A726D3">
      <w:pPr>
        <w:pStyle w:val="ListParagraph"/>
        <w:numPr>
          <w:ilvl w:val="1"/>
          <w:numId w:val="1"/>
        </w:numPr>
        <w:autoSpaceDE w:val="0"/>
        <w:autoSpaceDN w:val="0"/>
        <w:adjustRightInd w:val="0"/>
        <w:spacing w:after="120" w:line="240" w:lineRule="auto"/>
        <w:ind w:left="567" w:hanging="567"/>
        <w:contextualSpacing w:val="0"/>
      </w:pPr>
      <w:r w:rsidRPr="005A0C64">
        <w:t>Key details of the Australian system:</w:t>
      </w:r>
    </w:p>
    <w:p w:rsidR="00A726D3" w:rsidRPr="005A0C64" w:rsidRDefault="00A726D3" w:rsidP="00A726D3">
      <w:pPr>
        <w:pStyle w:val="ListParagraph"/>
        <w:numPr>
          <w:ilvl w:val="0"/>
          <w:numId w:val="5"/>
        </w:numPr>
        <w:spacing w:after="120" w:line="240" w:lineRule="auto"/>
        <w:contextualSpacing w:val="0"/>
      </w:pPr>
      <w:r w:rsidRPr="005A0C64">
        <w:t>Minimum employer contributions of 9.5% until 30 June 2021, then increasing by 0.5% per year until 30 June 2025</w:t>
      </w:r>
      <w:r w:rsidR="009B356B" w:rsidRPr="009B356B">
        <w:rPr>
          <w:vertAlign w:val="superscript"/>
        </w:rPr>
        <w:fldChar w:fldCharType="begin"/>
      </w:r>
      <w:r w:rsidR="009B356B" w:rsidRPr="009B356B">
        <w:rPr>
          <w:vertAlign w:val="superscript"/>
        </w:rPr>
        <w:instrText xml:space="preserve"> NOTEREF _Ref494044219 \h </w:instrText>
      </w:r>
      <w:r w:rsidR="009B356B" w:rsidRPr="009B356B">
        <w:rPr>
          <w:vertAlign w:val="superscript"/>
        </w:rPr>
      </w:r>
      <w:r w:rsidR="009B356B">
        <w:rPr>
          <w:vertAlign w:val="superscript"/>
        </w:rPr>
        <w:instrText xml:space="preserve"> \* MERGEFORMAT </w:instrText>
      </w:r>
      <w:r w:rsidR="009B356B" w:rsidRPr="009B356B">
        <w:rPr>
          <w:vertAlign w:val="superscript"/>
        </w:rPr>
        <w:fldChar w:fldCharType="separate"/>
      </w:r>
      <w:r w:rsidR="009B356B" w:rsidRPr="009B356B">
        <w:rPr>
          <w:vertAlign w:val="superscript"/>
        </w:rPr>
        <w:t>13</w:t>
      </w:r>
      <w:r w:rsidR="009B356B" w:rsidRPr="009B356B">
        <w:rPr>
          <w:vertAlign w:val="superscript"/>
        </w:rPr>
        <w:fldChar w:fldCharType="end"/>
      </w:r>
      <w:r w:rsidR="009B356B">
        <w:t>.</w:t>
      </w:r>
    </w:p>
    <w:p w:rsidR="00A726D3" w:rsidRPr="005A0C64" w:rsidRDefault="00A726D3" w:rsidP="00A726D3">
      <w:pPr>
        <w:pStyle w:val="ListParagraph"/>
        <w:numPr>
          <w:ilvl w:val="0"/>
          <w:numId w:val="5"/>
        </w:numPr>
        <w:spacing w:after="120" w:line="240" w:lineRule="auto"/>
        <w:contextualSpacing w:val="0"/>
      </w:pPr>
      <w:r w:rsidRPr="005A0C64">
        <w:t>Freedom of how to access the pension pot at retirement, but with tax incentives to draw a regular income rather than cash</w:t>
      </w:r>
      <w:bookmarkStart w:id="8" w:name="_Ref494044347"/>
      <w:r w:rsidR="009B356B">
        <w:rPr>
          <w:rStyle w:val="FootnoteReference"/>
        </w:rPr>
        <w:footnoteReference w:id="18"/>
      </w:r>
      <w:bookmarkEnd w:id="8"/>
      <w:r w:rsidR="009B356B">
        <w:t>.</w:t>
      </w:r>
    </w:p>
    <w:p w:rsidR="00A726D3" w:rsidRPr="005A0C64" w:rsidRDefault="00A726D3" w:rsidP="00A726D3">
      <w:pPr>
        <w:pStyle w:val="ListParagraph"/>
        <w:numPr>
          <w:ilvl w:val="0"/>
          <w:numId w:val="5"/>
        </w:numPr>
        <w:spacing w:after="120" w:line="240" w:lineRule="auto"/>
        <w:contextualSpacing w:val="0"/>
      </w:pPr>
      <w:r w:rsidRPr="005A0C64">
        <w:lastRenderedPageBreak/>
        <w:t>A State pension with significant means testing exists to act as a safety net for people who do not have sufficient savings. The maximum State pension for a single person is $877.10 per fortnight (approx.</w:t>
      </w:r>
      <w:r w:rsidR="00D47F37">
        <w:t xml:space="preserve"> </w:t>
      </w:r>
      <w:r w:rsidRPr="005A0C64">
        <w:t>£14,000 per year).</w:t>
      </w:r>
    </w:p>
    <w:p w:rsidR="00A726D3" w:rsidRPr="005A0C64" w:rsidRDefault="00A726D3" w:rsidP="00A726D3">
      <w:pPr>
        <w:pStyle w:val="ListParagraph"/>
        <w:numPr>
          <w:ilvl w:val="0"/>
          <w:numId w:val="5"/>
        </w:numPr>
        <w:spacing w:after="120" w:line="240" w:lineRule="auto"/>
        <w:contextualSpacing w:val="0"/>
      </w:pPr>
      <w:r w:rsidRPr="005A0C64">
        <w:t>Additional contributions termed “salary sacrifice” are allowed but have a low level of take up, with only 20% of eligible members taking advantage</w:t>
      </w:r>
      <w:r w:rsidR="00D47F37" w:rsidRPr="00D47F37">
        <w:rPr>
          <w:vertAlign w:val="superscript"/>
        </w:rPr>
        <w:fldChar w:fldCharType="begin"/>
      </w:r>
      <w:r w:rsidR="00D47F37" w:rsidRPr="00D47F37">
        <w:rPr>
          <w:vertAlign w:val="superscript"/>
        </w:rPr>
        <w:instrText xml:space="preserve"> NOTEREF _Ref494044299 \h </w:instrText>
      </w:r>
      <w:r w:rsidR="00D47F37" w:rsidRPr="00D47F37">
        <w:rPr>
          <w:vertAlign w:val="superscript"/>
        </w:rPr>
      </w:r>
      <w:r w:rsidR="00D47F37">
        <w:rPr>
          <w:vertAlign w:val="superscript"/>
        </w:rPr>
        <w:instrText xml:space="preserve"> \* MERGEFORMAT </w:instrText>
      </w:r>
      <w:r w:rsidR="00D47F37" w:rsidRPr="00D47F37">
        <w:rPr>
          <w:vertAlign w:val="superscript"/>
        </w:rPr>
        <w:fldChar w:fldCharType="separate"/>
      </w:r>
      <w:r w:rsidR="00D47F37" w:rsidRPr="00D47F37">
        <w:rPr>
          <w:vertAlign w:val="superscript"/>
        </w:rPr>
        <w:t>16</w:t>
      </w:r>
      <w:r w:rsidR="00D47F37" w:rsidRPr="00D47F37">
        <w:rPr>
          <w:vertAlign w:val="superscript"/>
        </w:rPr>
        <w:fldChar w:fldCharType="end"/>
      </w:r>
      <w:r w:rsidR="00D47F37">
        <w:t>.</w:t>
      </w:r>
    </w:p>
    <w:p w:rsidR="00A726D3" w:rsidRPr="005A0C64" w:rsidRDefault="00A726D3" w:rsidP="00A726D3">
      <w:pPr>
        <w:pStyle w:val="ListParagraph"/>
        <w:numPr>
          <w:ilvl w:val="1"/>
          <w:numId w:val="1"/>
        </w:numPr>
        <w:autoSpaceDE w:val="0"/>
        <w:autoSpaceDN w:val="0"/>
        <w:adjustRightInd w:val="0"/>
        <w:spacing w:after="120" w:line="240" w:lineRule="auto"/>
        <w:ind w:left="567" w:hanging="567"/>
        <w:contextualSpacing w:val="0"/>
      </w:pPr>
      <w:r w:rsidRPr="005A0C64">
        <w:t>Compulsory contributions will undoubtedly increase the number of people contributing to a pension scheme. However there have been a number of criticisms of the Australian system. In [16], Agnew highlights that the means testing of the State benefits gives incentives to game the system in retirement. Scheiwe</w:t>
      </w:r>
      <w:r w:rsidR="00CB72F1" w:rsidRPr="00CB72F1">
        <w:rPr>
          <w:vertAlign w:val="superscript"/>
        </w:rPr>
        <w:fldChar w:fldCharType="begin"/>
      </w:r>
      <w:r w:rsidR="00CB72F1" w:rsidRPr="00CB72F1">
        <w:rPr>
          <w:vertAlign w:val="superscript"/>
        </w:rPr>
        <w:instrText xml:space="preserve"> NOTEREF _Ref494044347 \h </w:instrText>
      </w:r>
      <w:r w:rsidR="00CB72F1" w:rsidRPr="00CB72F1">
        <w:rPr>
          <w:vertAlign w:val="superscript"/>
        </w:rPr>
      </w:r>
      <w:r w:rsidR="00CB72F1">
        <w:rPr>
          <w:vertAlign w:val="superscript"/>
        </w:rPr>
        <w:instrText xml:space="preserve"> \* MERGEFORMAT </w:instrText>
      </w:r>
      <w:r w:rsidR="00CB72F1" w:rsidRPr="00CB72F1">
        <w:rPr>
          <w:vertAlign w:val="superscript"/>
        </w:rPr>
        <w:fldChar w:fldCharType="separate"/>
      </w:r>
      <w:r w:rsidR="00CB72F1" w:rsidRPr="00CB72F1">
        <w:rPr>
          <w:vertAlign w:val="superscript"/>
        </w:rPr>
        <w:t>17</w:t>
      </w:r>
      <w:r w:rsidR="00CB72F1" w:rsidRPr="00CB72F1">
        <w:rPr>
          <w:vertAlign w:val="superscript"/>
        </w:rPr>
        <w:fldChar w:fldCharType="end"/>
      </w:r>
      <w:r w:rsidRPr="005A0C64">
        <w:t xml:space="preserve"> comments on the insufficiency of the level of contributions, the fact that the system does not cover self-employed and the sub-optimal service due to limited choice of scheme.</w:t>
      </w:r>
    </w:p>
    <w:p w:rsidR="00A726D3" w:rsidRPr="005A0C64" w:rsidRDefault="00A726D3" w:rsidP="00A726D3">
      <w:pPr>
        <w:pStyle w:val="ListParagraph"/>
        <w:numPr>
          <w:ilvl w:val="1"/>
          <w:numId w:val="1"/>
        </w:numPr>
        <w:autoSpaceDE w:val="0"/>
        <w:autoSpaceDN w:val="0"/>
        <w:adjustRightInd w:val="0"/>
        <w:spacing w:after="120" w:line="240" w:lineRule="auto"/>
        <w:ind w:left="567" w:hanging="567"/>
        <w:contextualSpacing w:val="0"/>
      </w:pPr>
      <w:r w:rsidRPr="005A0C64">
        <w:t xml:space="preserve">Compulsory contributions could also lead to a lack of engagement with pensions and a reduction in individual responsibility. As an example of this phenomenon, </w:t>
      </w:r>
      <w:r w:rsidR="00CB72F1">
        <w:t xml:space="preserve">in </w:t>
      </w:r>
      <w:r w:rsidRPr="005A0C64">
        <w:t>a survey of members</w:t>
      </w:r>
      <w:r w:rsidR="00CB72F1" w:rsidRPr="00CB72F1">
        <w:rPr>
          <w:vertAlign w:val="superscript"/>
        </w:rPr>
        <w:fldChar w:fldCharType="begin"/>
      </w:r>
      <w:r w:rsidR="00CB72F1" w:rsidRPr="00CB72F1">
        <w:rPr>
          <w:vertAlign w:val="superscript"/>
        </w:rPr>
        <w:instrText xml:space="preserve"> NOTEREF _Ref494044299 \h </w:instrText>
      </w:r>
      <w:r w:rsidR="00CB72F1" w:rsidRPr="00CB72F1">
        <w:rPr>
          <w:vertAlign w:val="superscript"/>
        </w:rPr>
      </w:r>
      <w:r w:rsidR="00CB72F1">
        <w:rPr>
          <w:vertAlign w:val="superscript"/>
        </w:rPr>
        <w:instrText xml:space="preserve"> \* MERGEFORMAT </w:instrText>
      </w:r>
      <w:r w:rsidR="00CB72F1" w:rsidRPr="00CB72F1">
        <w:rPr>
          <w:vertAlign w:val="superscript"/>
        </w:rPr>
        <w:fldChar w:fldCharType="separate"/>
      </w:r>
      <w:r w:rsidR="00CB72F1" w:rsidRPr="00CB72F1">
        <w:rPr>
          <w:vertAlign w:val="superscript"/>
        </w:rPr>
        <w:t>16</w:t>
      </w:r>
      <w:r w:rsidR="00CB72F1" w:rsidRPr="00CB72F1">
        <w:rPr>
          <w:vertAlign w:val="superscript"/>
        </w:rPr>
        <w:fldChar w:fldCharType="end"/>
      </w:r>
      <w:r w:rsidRPr="00CB72F1">
        <w:rPr>
          <w:vertAlign w:val="superscript"/>
        </w:rPr>
        <w:t xml:space="preserve"> </w:t>
      </w:r>
      <w:r w:rsidRPr="005A0C64">
        <w:t xml:space="preserve">over half of respondents did not know any details about the investment vehicle used in the majority of default funds. </w:t>
      </w:r>
    </w:p>
    <w:p w:rsidR="00A726D3" w:rsidRPr="00A0755B" w:rsidRDefault="00A726D3" w:rsidP="00A726D3">
      <w:pPr>
        <w:pStyle w:val="ListParagraph"/>
        <w:autoSpaceDE w:val="0"/>
        <w:autoSpaceDN w:val="0"/>
        <w:adjustRightInd w:val="0"/>
        <w:spacing w:after="120" w:line="240" w:lineRule="auto"/>
        <w:ind w:left="567"/>
        <w:contextualSpacing w:val="0"/>
        <w:rPr>
          <w:b/>
          <w:sz w:val="24"/>
          <w:szCs w:val="24"/>
        </w:rPr>
      </w:pPr>
      <w:r w:rsidRPr="00A0755B">
        <w:rPr>
          <w:b/>
          <w:sz w:val="24"/>
          <w:szCs w:val="24"/>
        </w:rPr>
        <w:t>Tax Incentives</w:t>
      </w:r>
    </w:p>
    <w:p w:rsidR="00A726D3" w:rsidRPr="005A0C64" w:rsidRDefault="00A726D3" w:rsidP="00A726D3">
      <w:pPr>
        <w:pStyle w:val="ListParagraph"/>
        <w:numPr>
          <w:ilvl w:val="1"/>
          <w:numId w:val="1"/>
        </w:numPr>
        <w:autoSpaceDE w:val="0"/>
        <w:autoSpaceDN w:val="0"/>
        <w:adjustRightInd w:val="0"/>
        <w:spacing w:after="120" w:line="240" w:lineRule="auto"/>
        <w:ind w:left="567" w:hanging="567"/>
        <w:contextualSpacing w:val="0"/>
      </w:pPr>
      <w:r w:rsidRPr="005A0C64">
        <w:t xml:space="preserve">Tax incentives have been a popular approach around the world to encourage pension saving. However, the system in the UK has often been </w:t>
      </w:r>
      <w:r w:rsidRPr="00A0755B">
        <w:t>criticised</w:t>
      </w:r>
      <w:r w:rsidRPr="005A0C64">
        <w:t xml:space="preserve"> for being (or being perceived as) too complicated to really drive up participation</w:t>
      </w:r>
      <w:r w:rsidR="00CB72F1">
        <w:rPr>
          <w:rStyle w:val="FootnoteReference"/>
        </w:rPr>
        <w:footnoteReference w:id="19"/>
      </w:r>
      <w:proofErr w:type="gramStart"/>
      <w:r w:rsidR="00CB72F1" w:rsidRPr="00CB72F1">
        <w:rPr>
          <w:vertAlign w:val="superscript"/>
        </w:rPr>
        <w:t>,</w:t>
      </w:r>
      <w:bookmarkStart w:id="9" w:name="_Ref494044844"/>
      <w:r w:rsidR="00CB72F1">
        <w:rPr>
          <w:rStyle w:val="FootnoteReference"/>
        </w:rPr>
        <w:footnoteReference w:id="20"/>
      </w:r>
      <w:bookmarkEnd w:id="9"/>
      <w:r w:rsidR="00CB72F1">
        <w:t>.</w:t>
      </w:r>
      <w:proofErr w:type="gramEnd"/>
    </w:p>
    <w:p w:rsidR="00A726D3" w:rsidRPr="005A0C64" w:rsidRDefault="00A726D3" w:rsidP="00A726D3">
      <w:pPr>
        <w:pStyle w:val="ListParagraph"/>
        <w:numPr>
          <w:ilvl w:val="1"/>
          <w:numId w:val="1"/>
        </w:numPr>
        <w:autoSpaceDE w:val="0"/>
        <w:autoSpaceDN w:val="0"/>
        <w:adjustRightInd w:val="0"/>
        <w:spacing w:after="120" w:line="240" w:lineRule="auto"/>
        <w:ind w:left="567" w:hanging="567"/>
        <w:contextualSpacing w:val="0"/>
      </w:pPr>
      <w:r w:rsidRPr="005A0C64">
        <w:t xml:space="preserve">The UK Exempt-Exempt-Taxed (or EET) model </w:t>
      </w:r>
      <w:r w:rsidRPr="00A0755B">
        <w:t>provides</w:t>
      </w:r>
      <w:r w:rsidRPr="005A0C64">
        <w:t xml:space="preserve"> that pension contributions are exempt from income tax, investment returns are exempt from tax while the pension drawn is subject to income tax (although 25% of the total fund can be taken tax free). This provides the following incentives to save into a pension: </w:t>
      </w:r>
    </w:p>
    <w:p w:rsidR="00A726D3" w:rsidRPr="005A0C64" w:rsidRDefault="00A726D3" w:rsidP="00A726D3">
      <w:pPr>
        <w:pStyle w:val="ListParagraph"/>
        <w:numPr>
          <w:ilvl w:val="0"/>
          <w:numId w:val="10"/>
        </w:numPr>
        <w:autoSpaceDE w:val="0"/>
        <w:autoSpaceDN w:val="0"/>
        <w:adjustRightInd w:val="0"/>
        <w:spacing w:after="120" w:line="240" w:lineRule="auto"/>
        <w:contextualSpacing w:val="0"/>
      </w:pPr>
      <w:r w:rsidRPr="005A0C64">
        <w:t>Some people will pay a lower level of income tax when they are retired than when in work, meaning deferring income tax until retirement may reduce the amount of tax paid;</w:t>
      </w:r>
    </w:p>
    <w:p w:rsidR="00A726D3" w:rsidRPr="005A0C64" w:rsidRDefault="00A726D3" w:rsidP="00A726D3">
      <w:pPr>
        <w:pStyle w:val="ListParagraph"/>
        <w:numPr>
          <w:ilvl w:val="0"/>
          <w:numId w:val="10"/>
        </w:numPr>
        <w:autoSpaceDE w:val="0"/>
        <w:autoSpaceDN w:val="0"/>
        <w:adjustRightInd w:val="0"/>
        <w:spacing w:after="120" w:line="240" w:lineRule="auto"/>
        <w:contextualSpacing w:val="0"/>
      </w:pPr>
      <w:r w:rsidRPr="005A0C64">
        <w:t>25% of the pot can be taken tax free, reducing the overall tax bill;</w:t>
      </w:r>
    </w:p>
    <w:p w:rsidR="00A726D3" w:rsidRPr="005A0C64" w:rsidRDefault="00A726D3" w:rsidP="00A726D3">
      <w:pPr>
        <w:pStyle w:val="ListParagraph"/>
        <w:numPr>
          <w:ilvl w:val="0"/>
          <w:numId w:val="10"/>
        </w:numPr>
        <w:autoSpaceDE w:val="0"/>
        <w:autoSpaceDN w:val="0"/>
        <w:adjustRightInd w:val="0"/>
        <w:spacing w:after="120" w:line="240" w:lineRule="auto"/>
        <w:contextualSpacing w:val="0"/>
      </w:pPr>
      <w:r w:rsidRPr="005A0C64">
        <w:t>Deferring taxation means there is a higher capital amount to invest, so investment returns will be higher as they are earned on a larger sum of money.</w:t>
      </w:r>
    </w:p>
    <w:p w:rsidR="00A726D3" w:rsidRPr="00A039D0" w:rsidRDefault="00A726D3" w:rsidP="00A726D3">
      <w:pPr>
        <w:pStyle w:val="ListParagraph"/>
        <w:numPr>
          <w:ilvl w:val="1"/>
          <w:numId w:val="1"/>
        </w:numPr>
        <w:autoSpaceDE w:val="0"/>
        <w:autoSpaceDN w:val="0"/>
        <w:adjustRightInd w:val="0"/>
        <w:spacing w:after="120" w:line="240" w:lineRule="auto"/>
        <w:ind w:left="567" w:hanging="567"/>
        <w:contextualSpacing w:val="0"/>
      </w:pPr>
      <w:r w:rsidRPr="005A0C64">
        <w:t>Auto-enrolment has cast a doubt on whether these tax incentives are sufficient on their own to encourage saving from the majority: the percentage of eligible workers saving into a work place pension has increased from around 55% in 2012 to 75% in 2015</w:t>
      </w:r>
      <w:r w:rsidR="007E4AB4" w:rsidRPr="007E4AB4">
        <w:rPr>
          <w:vertAlign w:val="superscript"/>
        </w:rPr>
        <w:fldChar w:fldCharType="begin"/>
      </w:r>
      <w:r w:rsidR="007E4AB4" w:rsidRPr="007E4AB4">
        <w:rPr>
          <w:vertAlign w:val="superscript"/>
        </w:rPr>
        <w:instrText xml:space="preserve"> NOTEREF _Ref494043450 \h </w:instrText>
      </w:r>
      <w:r w:rsidR="007E4AB4" w:rsidRPr="007E4AB4">
        <w:rPr>
          <w:vertAlign w:val="superscript"/>
        </w:rPr>
      </w:r>
      <w:r w:rsidR="007E4AB4">
        <w:rPr>
          <w:vertAlign w:val="superscript"/>
        </w:rPr>
        <w:instrText xml:space="preserve"> \* MERGEFORMAT </w:instrText>
      </w:r>
      <w:r w:rsidR="007E4AB4" w:rsidRPr="007E4AB4">
        <w:rPr>
          <w:vertAlign w:val="superscript"/>
        </w:rPr>
        <w:fldChar w:fldCharType="separate"/>
      </w:r>
      <w:r w:rsidR="007E4AB4" w:rsidRPr="007E4AB4">
        <w:rPr>
          <w:vertAlign w:val="superscript"/>
        </w:rPr>
        <w:t>8</w:t>
      </w:r>
      <w:r w:rsidR="007E4AB4" w:rsidRPr="007E4AB4">
        <w:rPr>
          <w:vertAlign w:val="superscript"/>
        </w:rPr>
        <w:fldChar w:fldCharType="end"/>
      </w:r>
      <w:r w:rsidRPr="005A0C64">
        <w:t>. During this period there has been very little change to the tax incentives</w:t>
      </w:r>
      <w:r>
        <w:t xml:space="preserve">; if tax incentives had been the main driver of pension saving behaviour, we would expect little change in the percentage of people saving after the introduction of auto-enrolment. </w:t>
      </w:r>
      <w:r w:rsidRPr="00A039D0">
        <w:t>Similar results</w:t>
      </w:r>
      <w:r>
        <w:t>, in that auto-enrolment have had large effects when introduced despite the tax regimes remaining largely unchanged</w:t>
      </w:r>
      <w:r w:rsidRPr="00A039D0">
        <w:t>, have been seen in the USA and in New Zealand</w:t>
      </w:r>
      <w:r>
        <w:t xml:space="preserve"> </w:t>
      </w:r>
      <w:r w:rsidRPr="00A039D0">
        <w:t xml:space="preserve">in systems with markedly different tax incentives (the </w:t>
      </w:r>
      <w:proofErr w:type="spellStart"/>
      <w:r w:rsidRPr="00A039D0">
        <w:t>KiwiSaver</w:t>
      </w:r>
      <w:proofErr w:type="spellEnd"/>
      <w:r w:rsidRPr="00A039D0">
        <w:t xml:space="preserve"> offers government bonuses to savings of 50% of annual contributions with a maximum of $521 and $1,000 on sign up</w:t>
      </w:r>
      <w:r w:rsidR="007E4AB4" w:rsidRPr="007E4AB4">
        <w:rPr>
          <w:vertAlign w:val="superscript"/>
        </w:rPr>
        <w:fldChar w:fldCharType="begin"/>
      </w:r>
      <w:r w:rsidR="007E4AB4" w:rsidRPr="007E4AB4">
        <w:rPr>
          <w:vertAlign w:val="superscript"/>
        </w:rPr>
        <w:instrText xml:space="preserve"> NOTEREF _Ref494044219 \h </w:instrText>
      </w:r>
      <w:r w:rsidR="007E4AB4" w:rsidRPr="007E4AB4">
        <w:rPr>
          <w:vertAlign w:val="superscript"/>
        </w:rPr>
      </w:r>
      <w:r w:rsidR="007E4AB4">
        <w:rPr>
          <w:vertAlign w:val="superscript"/>
        </w:rPr>
        <w:instrText xml:space="preserve"> \* MERGEFORMAT </w:instrText>
      </w:r>
      <w:r w:rsidR="007E4AB4" w:rsidRPr="007E4AB4">
        <w:rPr>
          <w:vertAlign w:val="superscript"/>
        </w:rPr>
        <w:fldChar w:fldCharType="separate"/>
      </w:r>
      <w:r w:rsidR="007E4AB4" w:rsidRPr="007E4AB4">
        <w:rPr>
          <w:vertAlign w:val="superscript"/>
        </w:rPr>
        <w:t>13</w:t>
      </w:r>
      <w:r w:rsidR="007E4AB4" w:rsidRPr="007E4AB4">
        <w:rPr>
          <w:vertAlign w:val="superscript"/>
        </w:rPr>
        <w:fldChar w:fldCharType="end"/>
      </w:r>
      <w:r w:rsidRPr="00A039D0">
        <w:t>; both a EET and TEE systems exist in the USA via regular 401(k) and Roth 401(k</w:t>
      </w:r>
      <w:r>
        <w:t>)</w:t>
      </w:r>
      <w:r w:rsidRPr="00A039D0">
        <w:t xml:space="preserve"> plans). </w:t>
      </w:r>
    </w:p>
    <w:p w:rsidR="00A726D3" w:rsidRPr="00A039D0" w:rsidRDefault="00A726D3" w:rsidP="00A726D3">
      <w:pPr>
        <w:pStyle w:val="ListParagraph"/>
        <w:numPr>
          <w:ilvl w:val="1"/>
          <w:numId w:val="1"/>
        </w:numPr>
        <w:autoSpaceDE w:val="0"/>
        <w:autoSpaceDN w:val="0"/>
        <w:adjustRightInd w:val="0"/>
        <w:spacing w:after="120" w:line="240" w:lineRule="auto"/>
        <w:ind w:left="567" w:hanging="567"/>
        <w:contextualSpacing w:val="0"/>
      </w:pPr>
      <w:r w:rsidRPr="00A039D0">
        <w:lastRenderedPageBreak/>
        <w:t>Research from Denmark</w:t>
      </w:r>
      <w:bookmarkStart w:id="10" w:name="_Ref494044937"/>
      <w:r w:rsidR="007E4AB4">
        <w:rPr>
          <w:rStyle w:val="FootnoteReference"/>
        </w:rPr>
        <w:footnoteReference w:id="21"/>
      </w:r>
      <w:bookmarkEnd w:id="10"/>
      <w:r w:rsidR="007E4AB4">
        <w:t xml:space="preserve"> </w:t>
      </w:r>
      <w:r w:rsidRPr="00A039D0">
        <w:t>has shown that 85% of savers are passive decision makers who are unresponsive to tax incentives and 15% active savers who are responsive to tax incentives. They also show that active savers are likely to be wealthier and more financially sophisticated.</w:t>
      </w:r>
    </w:p>
    <w:p w:rsidR="00A726D3" w:rsidRPr="00A039D0" w:rsidRDefault="00A726D3" w:rsidP="00A726D3">
      <w:pPr>
        <w:pStyle w:val="ListParagraph"/>
        <w:numPr>
          <w:ilvl w:val="1"/>
          <w:numId w:val="1"/>
        </w:numPr>
        <w:autoSpaceDE w:val="0"/>
        <w:autoSpaceDN w:val="0"/>
        <w:adjustRightInd w:val="0"/>
        <w:spacing w:after="120" w:line="240" w:lineRule="auto"/>
        <w:ind w:left="567" w:hanging="567"/>
        <w:contextualSpacing w:val="0"/>
      </w:pPr>
      <w:r w:rsidRPr="00A039D0">
        <w:t>Even if tax incentives by themselves have a low direct effect on saving behaviours, they are still a very important part of encouraging participation. In order to justify using behavioural nudges to encourage pension saving such as auto-enrolment, there needs to be some rational backing for the decisions people are being nudged towards. Without some form financial incentive it might be hard to justify auto-enrolment.</w:t>
      </w:r>
    </w:p>
    <w:p w:rsidR="00A726D3" w:rsidRPr="00A039D0" w:rsidRDefault="00A726D3" w:rsidP="00A726D3">
      <w:pPr>
        <w:pStyle w:val="ListParagraph"/>
        <w:numPr>
          <w:ilvl w:val="1"/>
          <w:numId w:val="1"/>
        </w:numPr>
        <w:autoSpaceDE w:val="0"/>
        <w:autoSpaceDN w:val="0"/>
        <w:adjustRightInd w:val="0"/>
        <w:spacing w:after="120" w:line="240" w:lineRule="auto"/>
        <w:ind w:left="567" w:hanging="567"/>
        <w:contextualSpacing w:val="0"/>
      </w:pPr>
      <w:r w:rsidRPr="00A039D0">
        <w:t>In addition, auto-enrolment requires the buy-in from employers to be a success. Key decision makers on occupational pensions may well be part of the 15% of active savers who value tax incentives. They are more likely to support occupational pensions that they themselves value, so tax incentives for pension savings may encourage their support and the ultimate success of the pension system.</w:t>
      </w:r>
    </w:p>
    <w:p w:rsidR="00A726D3" w:rsidRPr="00A039D0" w:rsidRDefault="00A726D3" w:rsidP="00A726D3">
      <w:pPr>
        <w:pStyle w:val="ListParagraph"/>
        <w:numPr>
          <w:ilvl w:val="1"/>
          <w:numId w:val="1"/>
        </w:numPr>
        <w:autoSpaceDE w:val="0"/>
        <w:autoSpaceDN w:val="0"/>
        <w:adjustRightInd w:val="0"/>
        <w:spacing w:after="120" w:line="240" w:lineRule="auto"/>
        <w:ind w:left="567" w:hanging="567"/>
        <w:contextualSpacing w:val="0"/>
      </w:pPr>
      <w:r w:rsidRPr="00A039D0">
        <w:t xml:space="preserve">In </w:t>
      </w:r>
      <w:r>
        <w:t xml:space="preserve">the UK’s </w:t>
      </w:r>
      <w:r w:rsidRPr="00A039D0">
        <w:t xml:space="preserve">2016 consultation </w:t>
      </w:r>
      <w:r>
        <w:t>on</w:t>
      </w:r>
      <w:r w:rsidRPr="00A039D0">
        <w:t xml:space="preserve"> pension tax relief</w:t>
      </w:r>
      <w:r w:rsidR="00F74305" w:rsidRPr="00F74305">
        <w:rPr>
          <w:vertAlign w:val="superscript"/>
        </w:rPr>
        <w:fldChar w:fldCharType="begin"/>
      </w:r>
      <w:r w:rsidR="00F74305" w:rsidRPr="00F74305">
        <w:rPr>
          <w:vertAlign w:val="superscript"/>
        </w:rPr>
        <w:instrText xml:space="preserve"> NOTEREF _Ref494044844 \h </w:instrText>
      </w:r>
      <w:r w:rsidR="00F74305" w:rsidRPr="00F74305">
        <w:rPr>
          <w:vertAlign w:val="superscript"/>
        </w:rPr>
      </w:r>
      <w:r w:rsidR="00F74305">
        <w:rPr>
          <w:vertAlign w:val="superscript"/>
        </w:rPr>
        <w:instrText xml:space="preserve"> \* MERGEFORMAT </w:instrText>
      </w:r>
      <w:r w:rsidR="00F74305" w:rsidRPr="00F74305">
        <w:rPr>
          <w:vertAlign w:val="superscript"/>
        </w:rPr>
        <w:fldChar w:fldCharType="separate"/>
      </w:r>
      <w:r w:rsidR="00F74305" w:rsidRPr="00F74305">
        <w:rPr>
          <w:vertAlign w:val="superscript"/>
        </w:rPr>
        <w:t>19</w:t>
      </w:r>
      <w:r w:rsidR="00F74305" w:rsidRPr="00F74305">
        <w:rPr>
          <w:vertAlign w:val="superscript"/>
        </w:rPr>
        <w:fldChar w:fldCharType="end"/>
      </w:r>
      <w:r>
        <w:t>, t</w:t>
      </w:r>
      <w:r w:rsidRPr="00A039D0">
        <w:t xml:space="preserve">he majority of responses </w:t>
      </w:r>
      <w:r w:rsidRPr="00A0755B">
        <w:t>recognised</w:t>
      </w:r>
      <w:r w:rsidRPr="00A039D0">
        <w:t xml:space="preserve"> there was a clear need for some form of up front financial incentive to save, </w:t>
      </w:r>
      <w:r>
        <w:t>although</w:t>
      </w:r>
      <w:r w:rsidRPr="00A039D0">
        <w:t xml:space="preserve"> the optimal form and level is hard to determine</w:t>
      </w:r>
      <w:r>
        <w:t xml:space="preserve">. </w:t>
      </w:r>
      <w:r w:rsidRPr="00A039D0">
        <w:t>One theme of the responses was that stability in the system was needed to improve trust from the public (the PPI have previously stated that people’s lack of trust in financial institutions can impede engagement</w:t>
      </w:r>
      <w:r w:rsidR="00F74305" w:rsidRPr="00F74305">
        <w:rPr>
          <w:vertAlign w:val="superscript"/>
        </w:rPr>
        <w:fldChar w:fldCharType="begin"/>
      </w:r>
      <w:r w:rsidR="00F74305" w:rsidRPr="00F74305">
        <w:rPr>
          <w:vertAlign w:val="superscript"/>
        </w:rPr>
        <w:instrText xml:space="preserve"> NOTEREF _Ref494043295 \h </w:instrText>
      </w:r>
      <w:r w:rsidR="00F74305" w:rsidRPr="00F74305">
        <w:rPr>
          <w:vertAlign w:val="superscript"/>
        </w:rPr>
      </w:r>
      <w:r w:rsidR="00F74305">
        <w:rPr>
          <w:vertAlign w:val="superscript"/>
        </w:rPr>
        <w:instrText xml:space="preserve"> \* MERGEFORMAT </w:instrText>
      </w:r>
      <w:r w:rsidR="00F74305" w:rsidRPr="00F74305">
        <w:rPr>
          <w:vertAlign w:val="superscript"/>
        </w:rPr>
        <w:fldChar w:fldCharType="separate"/>
      </w:r>
      <w:r w:rsidR="00F74305" w:rsidRPr="00F74305">
        <w:rPr>
          <w:vertAlign w:val="superscript"/>
        </w:rPr>
        <w:t>2</w:t>
      </w:r>
      <w:r w:rsidR="00F74305" w:rsidRPr="00F74305">
        <w:rPr>
          <w:vertAlign w:val="superscript"/>
        </w:rPr>
        <w:fldChar w:fldCharType="end"/>
      </w:r>
      <w:r w:rsidR="00F74305">
        <w:t>)</w:t>
      </w:r>
      <w:r w:rsidRPr="00A039D0">
        <w:t>.  In response</w:t>
      </w:r>
      <w:r>
        <w:t>,</w:t>
      </w:r>
      <w:r w:rsidRPr="00A039D0">
        <w:t xml:space="preserve"> a TEE element of </w:t>
      </w:r>
      <w:r>
        <w:t xml:space="preserve">retirement </w:t>
      </w:r>
      <w:r w:rsidRPr="00A039D0">
        <w:t xml:space="preserve">saving has now (in 2017) been introduced </w:t>
      </w:r>
      <w:r w:rsidRPr="00A039D0">
        <w:rPr>
          <w:i/>
        </w:rPr>
        <w:t>in parallel</w:t>
      </w:r>
      <w:r w:rsidRPr="00A039D0">
        <w:t xml:space="preserve"> to the current system in the form of the Lifetime ISA (with the added incentive of a government bonus of 25% on savings, subject to a maximum level and various restrictions on withdrawal). It will be interesting to see the take up of this new form of saving and whether it affects saving into the existing pension system. </w:t>
      </w:r>
    </w:p>
    <w:p w:rsidR="00A726D3" w:rsidRPr="00A0755B" w:rsidRDefault="00A726D3" w:rsidP="00A726D3">
      <w:pPr>
        <w:pStyle w:val="ListParagraph"/>
        <w:autoSpaceDE w:val="0"/>
        <w:autoSpaceDN w:val="0"/>
        <w:adjustRightInd w:val="0"/>
        <w:spacing w:after="120" w:line="240" w:lineRule="auto"/>
        <w:ind w:left="567"/>
        <w:contextualSpacing w:val="0"/>
        <w:rPr>
          <w:b/>
          <w:sz w:val="24"/>
          <w:szCs w:val="24"/>
        </w:rPr>
      </w:pPr>
      <w:r w:rsidRPr="00A0755B">
        <w:rPr>
          <w:b/>
          <w:sz w:val="24"/>
          <w:szCs w:val="24"/>
        </w:rPr>
        <w:t>Education and guidance</w:t>
      </w:r>
    </w:p>
    <w:p w:rsidR="00A726D3" w:rsidRPr="00A039D0" w:rsidRDefault="00A726D3" w:rsidP="00A726D3">
      <w:pPr>
        <w:pStyle w:val="ListParagraph"/>
        <w:numPr>
          <w:ilvl w:val="1"/>
          <w:numId w:val="1"/>
        </w:numPr>
        <w:autoSpaceDE w:val="0"/>
        <w:autoSpaceDN w:val="0"/>
        <w:adjustRightInd w:val="0"/>
        <w:spacing w:after="120" w:line="240" w:lineRule="auto"/>
        <w:ind w:left="567" w:hanging="567"/>
        <w:contextualSpacing w:val="0"/>
      </w:pPr>
      <w:r w:rsidRPr="00A039D0">
        <w:t>Increasing financial education and guidance for members of the public about pension savings intuitively feels like it should have a positive effect on participation. The focus is often on the need to educate people to make the optimal rational decisions with regard to their savings behaviour. The need for such education is supported by the PPI who state that 4 out of 5 people in the UK have a level of numeracy of below GCSE grade C</w:t>
      </w:r>
      <w:r w:rsidR="00F74305" w:rsidRPr="00F74305">
        <w:rPr>
          <w:vertAlign w:val="superscript"/>
        </w:rPr>
        <w:fldChar w:fldCharType="begin"/>
      </w:r>
      <w:r w:rsidR="00F74305" w:rsidRPr="00F74305">
        <w:rPr>
          <w:vertAlign w:val="superscript"/>
        </w:rPr>
        <w:instrText xml:space="preserve"> NOTEREF _Ref494043295 \h </w:instrText>
      </w:r>
      <w:r w:rsidR="00F74305" w:rsidRPr="00F74305">
        <w:rPr>
          <w:vertAlign w:val="superscript"/>
        </w:rPr>
      </w:r>
      <w:r w:rsidR="00F74305">
        <w:rPr>
          <w:vertAlign w:val="superscript"/>
        </w:rPr>
        <w:instrText xml:space="preserve"> \* MERGEFORMAT </w:instrText>
      </w:r>
      <w:r w:rsidR="00F74305" w:rsidRPr="00F74305">
        <w:rPr>
          <w:vertAlign w:val="superscript"/>
        </w:rPr>
        <w:fldChar w:fldCharType="separate"/>
      </w:r>
      <w:r w:rsidR="00F74305" w:rsidRPr="00F74305">
        <w:rPr>
          <w:vertAlign w:val="superscript"/>
        </w:rPr>
        <w:t>2</w:t>
      </w:r>
      <w:r w:rsidR="00F74305" w:rsidRPr="00F74305">
        <w:rPr>
          <w:vertAlign w:val="superscript"/>
        </w:rPr>
        <w:fldChar w:fldCharType="end"/>
      </w:r>
      <w:r w:rsidRPr="00A039D0">
        <w:t>.</w:t>
      </w:r>
    </w:p>
    <w:p w:rsidR="00A726D3" w:rsidRPr="00A039D0" w:rsidRDefault="00A726D3" w:rsidP="00A726D3">
      <w:pPr>
        <w:pStyle w:val="ListParagraph"/>
        <w:numPr>
          <w:ilvl w:val="1"/>
          <w:numId w:val="1"/>
        </w:numPr>
        <w:autoSpaceDE w:val="0"/>
        <w:autoSpaceDN w:val="0"/>
        <w:adjustRightInd w:val="0"/>
        <w:spacing w:after="120" w:line="240" w:lineRule="auto"/>
        <w:ind w:left="567" w:hanging="567"/>
        <w:contextualSpacing w:val="0"/>
      </w:pPr>
      <w:r w:rsidRPr="00A039D0">
        <w:t>There is no certainty that better informed people will make better decisions. As stated in the tax incentives section, research from Denmark</w:t>
      </w:r>
      <w:r w:rsidR="00F74305" w:rsidRPr="00F74305">
        <w:rPr>
          <w:vertAlign w:val="superscript"/>
        </w:rPr>
        <w:fldChar w:fldCharType="begin"/>
      </w:r>
      <w:r w:rsidR="00F74305" w:rsidRPr="00F74305">
        <w:rPr>
          <w:vertAlign w:val="superscript"/>
        </w:rPr>
        <w:instrText xml:space="preserve"> NOTEREF _Ref494044937 \h </w:instrText>
      </w:r>
      <w:r w:rsidR="00F74305" w:rsidRPr="00F74305">
        <w:rPr>
          <w:vertAlign w:val="superscript"/>
        </w:rPr>
      </w:r>
      <w:r w:rsidR="00F74305">
        <w:rPr>
          <w:vertAlign w:val="superscript"/>
        </w:rPr>
        <w:instrText xml:space="preserve"> \* MERGEFORMAT </w:instrText>
      </w:r>
      <w:r w:rsidR="00F74305" w:rsidRPr="00F74305">
        <w:rPr>
          <w:vertAlign w:val="superscript"/>
        </w:rPr>
        <w:fldChar w:fldCharType="separate"/>
      </w:r>
      <w:r w:rsidR="00F74305" w:rsidRPr="00F74305">
        <w:rPr>
          <w:vertAlign w:val="superscript"/>
        </w:rPr>
        <w:t>20</w:t>
      </w:r>
      <w:r w:rsidR="00F74305" w:rsidRPr="00F74305">
        <w:rPr>
          <w:vertAlign w:val="superscript"/>
        </w:rPr>
        <w:fldChar w:fldCharType="end"/>
      </w:r>
      <w:r w:rsidRPr="00A039D0">
        <w:t xml:space="preserve"> has shown 85% of savers are passive decision makers who would be unresponsive to improvements in behavio</w:t>
      </w:r>
      <w:r>
        <w:t>u</w:t>
      </w:r>
      <w:r w:rsidRPr="00A039D0">
        <w:t>r based on better information.</w:t>
      </w:r>
    </w:p>
    <w:p w:rsidR="00A726D3" w:rsidRPr="00A0755B" w:rsidRDefault="00A726D3" w:rsidP="00A726D3">
      <w:pPr>
        <w:pStyle w:val="ListParagraph"/>
        <w:numPr>
          <w:ilvl w:val="1"/>
          <w:numId w:val="1"/>
        </w:numPr>
        <w:autoSpaceDE w:val="0"/>
        <w:autoSpaceDN w:val="0"/>
        <w:adjustRightInd w:val="0"/>
        <w:spacing w:after="120" w:line="240" w:lineRule="auto"/>
        <w:ind w:left="567" w:hanging="567"/>
        <w:contextualSpacing w:val="0"/>
      </w:pPr>
      <w:r w:rsidRPr="00A039D0">
        <w:t xml:space="preserve">However, one way that financial education could improve behaviour is by creating a better culture for savings. This was suggested by many responses to the government’s consultation on the incentive to </w:t>
      </w:r>
      <w:r w:rsidRPr="00F74305">
        <w:t>save</w:t>
      </w:r>
      <w:r w:rsidR="00F74305" w:rsidRPr="00F74305">
        <w:rPr>
          <w:vertAlign w:val="superscript"/>
        </w:rPr>
        <w:fldChar w:fldCharType="begin"/>
      </w:r>
      <w:r w:rsidR="00F74305" w:rsidRPr="00F74305">
        <w:rPr>
          <w:vertAlign w:val="superscript"/>
        </w:rPr>
        <w:instrText xml:space="preserve"> NOTEREF _Ref494044844 \h </w:instrText>
      </w:r>
      <w:r w:rsidR="00F74305" w:rsidRPr="00F74305">
        <w:rPr>
          <w:vertAlign w:val="superscript"/>
        </w:rPr>
      </w:r>
      <w:r w:rsidR="00F74305">
        <w:rPr>
          <w:vertAlign w:val="superscript"/>
        </w:rPr>
        <w:instrText xml:space="preserve"> \* MERGEFORMAT </w:instrText>
      </w:r>
      <w:r w:rsidR="00F74305" w:rsidRPr="00F74305">
        <w:rPr>
          <w:vertAlign w:val="superscript"/>
        </w:rPr>
        <w:fldChar w:fldCharType="separate"/>
      </w:r>
      <w:r w:rsidR="00F74305" w:rsidRPr="00F74305">
        <w:rPr>
          <w:vertAlign w:val="superscript"/>
        </w:rPr>
        <w:t>19</w:t>
      </w:r>
      <w:r w:rsidR="00F74305" w:rsidRPr="00F74305">
        <w:rPr>
          <w:vertAlign w:val="superscript"/>
        </w:rPr>
        <w:fldChar w:fldCharType="end"/>
      </w:r>
      <w:r w:rsidRPr="00A039D0">
        <w:t xml:space="preserve"> and may help address the PPI’s assertion that</w:t>
      </w:r>
      <w:r w:rsidRPr="00A0755B">
        <w:t xml:space="preserve"> </w:t>
      </w:r>
      <w:r w:rsidRPr="00A039D0">
        <w:t>people’s lack of trust in financial institutions can impede engagement with advice or guidance</w:t>
      </w:r>
      <w:r w:rsidR="00F74305" w:rsidRPr="00F74305">
        <w:rPr>
          <w:vertAlign w:val="superscript"/>
        </w:rPr>
        <w:fldChar w:fldCharType="begin"/>
      </w:r>
      <w:r w:rsidR="00F74305" w:rsidRPr="00F74305">
        <w:rPr>
          <w:vertAlign w:val="superscript"/>
        </w:rPr>
        <w:instrText xml:space="preserve"> NOTEREF _Ref494043295 \h </w:instrText>
      </w:r>
      <w:r w:rsidR="00F74305" w:rsidRPr="00F74305">
        <w:rPr>
          <w:vertAlign w:val="superscript"/>
        </w:rPr>
      </w:r>
      <w:r w:rsidR="00F74305">
        <w:rPr>
          <w:vertAlign w:val="superscript"/>
        </w:rPr>
        <w:instrText xml:space="preserve"> \* MERGEFORMAT </w:instrText>
      </w:r>
      <w:r w:rsidR="00F74305" w:rsidRPr="00F74305">
        <w:rPr>
          <w:vertAlign w:val="superscript"/>
        </w:rPr>
        <w:fldChar w:fldCharType="separate"/>
      </w:r>
      <w:r w:rsidR="00F74305" w:rsidRPr="00F74305">
        <w:rPr>
          <w:vertAlign w:val="superscript"/>
        </w:rPr>
        <w:t>2</w:t>
      </w:r>
      <w:r w:rsidR="00F74305" w:rsidRPr="00F74305">
        <w:rPr>
          <w:vertAlign w:val="superscript"/>
        </w:rPr>
        <w:fldChar w:fldCharType="end"/>
      </w:r>
      <w:r w:rsidRPr="00A039D0">
        <w:t>.</w:t>
      </w:r>
    </w:p>
    <w:p w:rsidR="00A726D3" w:rsidRPr="00A0755B" w:rsidRDefault="00A726D3" w:rsidP="00A726D3">
      <w:pPr>
        <w:pStyle w:val="ListParagraph"/>
        <w:numPr>
          <w:ilvl w:val="0"/>
          <w:numId w:val="1"/>
        </w:numPr>
        <w:spacing w:before="360" w:after="120"/>
        <w:ind w:left="567" w:hanging="567"/>
        <w:contextualSpacing w:val="0"/>
        <w:rPr>
          <w:b/>
          <w:sz w:val="28"/>
          <w:szCs w:val="28"/>
        </w:rPr>
      </w:pPr>
      <w:r w:rsidRPr="00A0755B">
        <w:rPr>
          <w:b/>
          <w:sz w:val="28"/>
          <w:szCs w:val="28"/>
        </w:rPr>
        <w:t>People saving more</w:t>
      </w:r>
    </w:p>
    <w:p w:rsidR="00A726D3" w:rsidRPr="00A0755B" w:rsidRDefault="00A726D3" w:rsidP="00A726D3">
      <w:pPr>
        <w:pStyle w:val="ListParagraph"/>
        <w:autoSpaceDE w:val="0"/>
        <w:autoSpaceDN w:val="0"/>
        <w:adjustRightInd w:val="0"/>
        <w:spacing w:after="120" w:line="240" w:lineRule="auto"/>
        <w:ind w:left="567"/>
        <w:contextualSpacing w:val="0"/>
        <w:rPr>
          <w:b/>
          <w:sz w:val="24"/>
          <w:szCs w:val="24"/>
        </w:rPr>
      </w:pPr>
      <w:r w:rsidRPr="00A0755B">
        <w:rPr>
          <w:b/>
          <w:sz w:val="24"/>
          <w:szCs w:val="24"/>
        </w:rPr>
        <w:t>Auto-enrolment and compulsory contributions</w:t>
      </w:r>
    </w:p>
    <w:p w:rsidR="00A726D3" w:rsidRPr="00A039D0" w:rsidRDefault="00A726D3" w:rsidP="0072511B">
      <w:pPr>
        <w:pStyle w:val="ListParagraph"/>
        <w:numPr>
          <w:ilvl w:val="1"/>
          <w:numId w:val="1"/>
        </w:numPr>
        <w:autoSpaceDE w:val="0"/>
        <w:autoSpaceDN w:val="0"/>
        <w:adjustRightInd w:val="0"/>
        <w:spacing w:after="120" w:line="240" w:lineRule="auto"/>
        <w:ind w:left="567" w:hanging="567"/>
        <w:contextualSpacing w:val="0"/>
      </w:pPr>
      <w:r w:rsidRPr="00A039D0">
        <w:t xml:space="preserve">One way to increase the amount people save would be to increase the minimum level of contributions that are required under either auto-enrolment or compulsory contributions. </w:t>
      </w:r>
      <w:r>
        <w:t>B</w:t>
      </w:r>
      <w:r w:rsidRPr="00A039D0">
        <w:t xml:space="preserve">oth the PPI and the PLSA believe </w:t>
      </w:r>
      <w:r>
        <w:t>that the UK’s ultimate minimum</w:t>
      </w:r>
      <w:r w:rsidRPr="00A039D0">
        <w:t xml:space="preserve"> level of contributions</w:t>
      </w:r>
      <w:r>
        <w:t xml:space="preserve"> from 2019 </w:t>
      </w:r>
      <w:r w:rsidRPr="00A039D0">
        <w:t>will not be sufficient</w:t>
      </w:r>
      <w:r w:rsidR="0072511B" w:rsidRPr="0072511B">
        <w:rPr>
          <w:vertAlign w:val="superscript"/>
        </w:rPr>
        <w:fldChar w:fldCharType="begin"/>
      </w:r>
      <w:r w:rsidR="0072511B" w:rsidRPr="0072511B">
        <w:rPr>
          <w:vertAlign w:val="superscript"/>
        </w:rPr>
        <w:instrText xml:space="preserve"> NOTEREF _Ref494043771 \h </w:instrText>
      </w:r>
      <w:r w:rsidR="0072511B" w:rsidRPr="0072511B">
        <w:rPr>
          <w:vertAlign w:val="superscript"/>
        </w:rPr>
      </w:r>
      <w:r w:rsidR="0072511B">
        <w:rPr>
          <w:vertAlign w:val="superscript"/>
        </w:rPr>
        <w:instrText xml:space="preserve"> \* MERGEFORMAT </w:instrText>
      </w:r>
      <w:r w:rsidR="0072511B" w:rsidRPr="0072511B">
        <w:rPr>
          <w:vertAlign w:val="superscript"/>
        </w:rPr>
        <w:fldChar w:fldCharType="separate"/>
      </w:r>
      <w:r w:rsidR="0072511B" w:rsidRPr="0072511B">
        <w:rPr>
          <w:vertAlign w:val="superscript"/>
        </w:rPr>
        <w:t>4</w:t>
      </w:r>
      <w:r w:rsidR="0072511B" w:rsidRPr="0072511B">
        <w:rPr>
          <w:vertAlign w:val="superscript"/>
        </w:rPr>
        <w:fldChar w:fldCharType="end"/>
      </w:r>
      <w:proofErr w:type="gramStart"/>
      <w:r w:rsidR="0072511B" w:rsidRPr="0072511B">
        <w:rPr>
          <w:vertAlign w:val="superscript"/>
        </w:rPr>
        <w:t>,</w:t>
      </w:r>
      <w:proofErr w:type="gramEnd"/>
      <w:r w:rsidR="0072511B" w:rsidRPr="0072511B">
        <w:rPr>
          <w:vertAlign w:val="superscript"/>
        </w:rPr>
        <w:fldChar w:fldCharType="begin"/>
      </w:r>
      <w:r w:rsidR="0072511B" w:rsidRPr="0072511B">
        <w:rPr>
          <w:vertAlign w:val="superscript"/>
        </w:rPr>
        <w:instrText xml:space="preserve"> NOTEREF _Ref494045064 \h </w:instrText>
      </w:r>
      <w:r w:rsidR="0072511B" w:rsidRPr="0072511B">
        <w:rPr>
          <w:vertAlign w:val="superscript"/>
        </w:rPr>
      </w:r>
      <w:r w:rsidR="0072511B">
        <w:rPr>
          <w:vertAlign w:val="superscript"/>
        </w:rPr>
        <w:instrText xml:space="preserve"> \* MERGEFORMAT </w:instrText>
      </w:r>
      <w:r w:rsidR="0072511B" w:rsidRPr="0072511B">
        <w:rPr>
          <w:vertAlign w:val="superscript"/>
        </w:rPr>
        <w:fldChar w:fldCharType="separate"/>
      </w:r>
      <w:r w:rsidR="0072511B" w:rsidRPr="0072511B">
        <w:rPr>
          <w:vertAlign w:val="superscript"/>
        </w:rPr>
        <w:t>11</w:t>
      </w:r>
      <w:r w:rsidR="0072511B" w:rsidRPr="0072511B">
        <w:rPr>
          <w:vertAlign w:val="superscript"/>
        </w:rPr>
        <w:fldChar w:fldCharType="end"/>
      </w:r>
      <w:r w:rsidRPr="00A039D0">
        <w:t>.</w:t>
      </w:r>
    </w:p>
    <w:p w:rsidR="00A726D3" w:rsidRPr="00A039D0" w:rsidRDefault="00A726D3" w:rsidP="00A726D3">
      <w:pPr>
        <w:pStyle w:val="ListParagraph"/>
        <w:numPr>
          <w:ilvl w:val="1"/>
          <w:numId w:val="1"/>
        </w:numPr>
        <w:autoSpaceDE w:val="0"/>
        <w:autoSpaceDN w:val="0"/>
        <w:adjustRightInd w:val="0"/>
        <w:spacing w:after="120" w:line="240" w:lineRule="auto"/>
        <w:ind w:left="567" w:hanging="567"/>
        <w:contextualSpacing w:val="0"/>
      </w:pPr>
      <w:r w:rsidRPr="00A039D0">
        <w:lastRenderedPageBreak/>
        <w:t xml:space="preserve">As we do not know the impact </w:t>
      </w:r>
      <w:r>
        <w:t xml:space="preserve">on opt-out rates </w:t>
      </w:r>
      <w:r w:rsidRPr="00A039D0">
        <w:t xml:space="preserve">of the increase to 8% and there is no data from other countries about auto-enrolment schemes with significantly higher contribution levels, it is difficult to extrapolate the effect on opt-out rates of increasing contribution levels. </w:t>
      </w:r>
      <w:r>
        <w:t>C</w:t>
      </w:r>
      <w:r w:rsidRPr="00A039D0">
        <w:t xml:space="preserve">ompulsory contributions would </w:t>
      </w:r>
      <w:r>
        <w:t>enable a</w:t>
      </w:r>
      <w:r w:rsidRPr="00A039D0">
        <w:t xml:space="preserve"> minimum level to </w:t>
      </w:r>
      <w:r>
        <w:t xml:space="preserve">be set at </w:t>
      </w:r>
      <w:r w:rsidRPr="00A039D0">
        <w:t xml:space="preserve">whatever </w:t>
      </w:r>
      <w:r>
        <w:t xml:space="preserve">level </w:t>
      </w:r>
      <w:r w:rsidRPr="00A039D0">
        <w:t xml:space="preserve">was </w:t>
      </w:r>
      <w:r>
        <w:t xml:space="preserve">deemed </w:t>
      </w:r>
      <w:r w:rsidRPr="00A039D0">
        <w:t>appropriate without the fear of increasing opt-out rates</w:t>
      </w:r>
      <w:r>
        <w:t>; while this has considerable merit it does</w:t>
      </w:r>
      <w:r w:rsidRPr="00A039D0">
        <w:t xml:space="preserve"> carry its own political risk.</w:t>
      </w:r>
    </w:p>
    <w:p w:rsidR="00A726D3" w:rsidRPr="00A0755B" w:rsidRDefault="00A726D3" w:rsidP="00A726D3">
      <w:pPr>
        <w:pStyle w:val="ListParagraph"/>
        <w:autoSpaceDE w:val="0"/>
        <w:autoSpaceDN w:val="0"/>
        <w:adjustRightInd w:val="0"/>
        <w:spacing w:after="120" w:line="240" w:lineRule="auto"/>
        <w:ind w:left="567"/>
        <w:contextualSpacing w:val="0"/>
        <w:rPr>
          <w:b/>
          <w:sz w:val="24"/>
          <w:szCs w:val="24"/>
        </w:rPr>
      </w:pPr>
      <w:r w:rsidRPr="00A0755B">
        <w:rPr>
          <w:b/>
          <w:sz w:val="24"/>
          <w:szCs w:val="24"/>
        </w:rPr>
        <w:t>Auto-escalation</w:t>
      </w:r>
    </w:p>
    <w:p w:rsidR="00A726D3" w:rsidRPr="00A039D0" w:rsidRDefault="00A726D3" w:rsidP="00A726D3">
      <w:pPr>
        <w:pStyle w:val="ListParagraph"/>
        <w:numPr>
          <w:ilvl w:val="1"/>
          <w:numId w:val="1"/>
        </w:numPr>
        <w:autoSpaceDE w:val="0"/>
        <w:autoSpaceDN w:val="0"/>
        <w:adjustRightInd w:val="0"/>
        <w:spacing w:after="120" w:line="240" w:lineRule="auto"/>
        <w:ind w:left="567" w:hanging="567"/>
        <w:contextualSpacing w:val="0"/>
      </w:pPr>
      <w:r w:rsidRPr="00A039D0">
        <w:t>Auto-enrolment addresses the problem of not enough people saving</w:t>
      </w:r>
      <w:r>
        <w:t>, but does not promote higher levels of savings.</w:t>
      </w:r>
      <w:r w:rsidRPr="00A039D0">
        <w:t xml:space="preserve"> </w:t>
      </w:r>
      <w:r>
        <w:t>A</w:t>
      </w:r>
      <w:r w:rsidRPr="00A039D0">
        <w:t>utomatic escalation</w:t>
      </w:r>
      <w:bookmarkStart w:id="11" w:name="_Ref494045321"/>
      <w:r w:rsidR="0072511B">
        <w:rPr>
          <w:rStyle w:val="FootnoteReference"/>
        </w:rPr>
        <w:footnoteReference w:id="22"/>
      </w:r>
      <w:bookmarkEnd w:id="11"/>
      <w:r>
        <w:t xml:space="preserve">, originating in the US, aims to help in that </w:t>
      </w:r>
      <w:proofErr w:type="gramStart"/>
      <w:r>
        <w:t>regard</w:t>
      </w:r>
      <w:proofErr w:type="gramEnd"/>
      <w:r>
        <w:t>, in that</w:t>
      </w:r>
      <w:r w:rsidRPr="00A039D0">
        <w:t xml:space="preserve"> </w:t>
      </w:r>
      <w:r>
        <w:t>people</w:t>
      </w:r>
      <w:r w:rsidRPr="00A039D0">
        <w:t xml:space="preserve"> sign up to increase their pension contributions at predetermined times in the future. This mechanism appeals to a number of phenomena highlighted by behavio</w:t>
      </w:r>
      <w:r>
        <w:t>u</w:t>
      </w:r>
      <w:r w:rsidRPr="00A039D0">
        <w:t>ral economics:</w:t>
      </w:r>
    </w:p>
    <w:p w:rsidR="00A726D3" w:rsidRPr="00A039D0" w:rsidRDefault="00A726D3" w:rsidP="00A726D3">
      <w:pPr>
        <w:pStyle w:val="ListParagraph"/>
        <w:numPr>
          <w:ilvl w:val="0"/>
          <w:numId w:val="9"/>
        </w:numPr>
        <w:spacing w:after="120" w:line="240" w:lineRule="auto"/>
        <w:contextualSpacing w:val="0"/>
      </w:pPr>
      <w:r w:rsidRPr="00A039D0">
        <w:t>The concept of non-uniform discounting</w:t>
      </w:r>
      <w:r w:rsidR="0072511B">
        <w:rPr>
          <w:rStyle w:val="FootnoteReference"/>
        </w:rPr>
        <w:footnoteReference w:id="23"/>
      </w:r>
      <w:r w:rsidRPr="00A039D0">
        <w:t>. People will feel that their future self will lose less utility saving more than their current self, so will be willing to sign up to higher contributions in the future, even if they don’t want to pay those contributions now.</w:t>
      </w:r>
    </w:p>
    <w:p w:rsidR="00A726D3" w:rsidRPr="00A039D0" w:rsidRDefault="00A726D3" w:rsidP="00A726D3">
      <w:pPr>
        <w:pStyle w:val="ListParagraph"/>
        <w:numPr>
          <w:ilvl w:val="0"/>
          <w:numId w:val="9"/>
        </w:numPr>
        <w:spacing w:after="120" w:line="240" w:lineRule="auto"/>
        <w:contextualSpacing w:val="0"/>
      </w:pPr>
      <w:r w:rsidRPr="00A039D0">
        <w:t>Inertia</w:t>
      </w:r>
      <w:r w:rsidR="0072511B">
        <w:rPr>
          <w:rStyle w:val="FootnoteReference"/>
        </w:rPr>
        <w:footnoteReference w:id="24"/>
      </w:r>
      <w:r w:rsidRPr="00A039D0">
        <w:t xml:space="preserve">. Once </w:t>
      </w:r>
      <w:r>
        <w:t>enroll</w:t>
      </w:r>
      <w:r w:rsidRPr="00A039D0">
        <w:t>ed in the increasing contribution mechanism</w:t>
      </w:r>
      <w:r>
        <w:t>,</w:t>
      </w:r>
      <w:r w:rsidRPr="00A039D0">
        <w:t xml:space="preserve"> an action must be taken to reject the higher contribution when it </w:t>
      </w:r>
      <w:r>
        <w:t>be</w:t>
      </w:r>
      <w:r w:rsidRPr="00A039D0">
        <w:t xml:space="preserve">comes </w:t>
      </w:r>
      <w:r>
        <w:t>due</w:t>
      </w:r>
      <w:r w:rsidRPr="00A039D0">
        <w:t>. The mechanism takes advantage of the fact that people rarely act to change the status quo.</w:t>
      </w:r>
    </w:p>
    <w:p w:rsidR="00A726D3" w:rsidRPr="00387632" w:rsidRDefault="00A726D3" w:rsidP="00A726D3">
      <w:pPr>
        <w:pStyle w:val="ListParagraph"/>
        <w:numPr>
          <w:ilvl w:val="0"/>
          <w:numId w:val="9"/>
        </w:numPr>
        <w:spacing w:after="120" w:line="240" w:lineRule="auto"/>
        <w:contextualSpacing w:val="0"/>
      </w:pPr>
      <w:r w:rsidRPr="00A039D0">
        <w:t>Loss aversion</w:t>
      </w:r>
      <w:r w:rsidR="0072511B">
        <w:rPr>
          <w:rStyle w:val="FootnoteReference"/>
        </w:rPr>
        <w:footnoteReference w:id="25"/>
      </w:r>
      <w:r w:rsidRPr="00A039D0">
        <w:t xml:space="preserve">. In the original scheme design introduced by </w:t>
      </w:r>
      <w:proofErr w:type="spellStart"/>
      <w:r w:rsidRPr="00A039D0">
        <w:t>Bernatzi</w:t>
      </w:r>
      <w:proofErr w:type="spellEnd"/>
      <w:r w:rsidRPr="00A039D0">
        <w:t xml:space="preserve"> and </w:t>
      </w:r>
      <w:proofErr w:type="spellStart"/>
      <w:r w:rsidRPr="00A039D0">
        <w:t>Thaler</w:t>
      </w:r>
      <w:proofErr w:type="spellEnd"/>
      <w:r w:rsidRPr="00A039D0">
        <w:t>, they timed the increase in contributions to coincide with pay rises. This means that</w:t>
      </w:r>
      <w:r>
        <w:t>,</w:t>
      </w:r>
      <w:r w:rsidRPr="00A039D0">
        <w:t xml:space="preserve"> as long </w:t>
      </w:r>
      <w:r>
        <w:t xml:space="preserve">as </w:t>
      </w:r>
      <w:r w:rsidRPr="00A039D0">
        <w:t xml:space="preserve">an employee’s pay rise is more than their contribution increase, their take home pay will not decrease. According to prospect </w:t>
      </w:r>
      <w:proofErr w:type="gramStart"/>
      <w:r w:rsidRPr="00A039D0">
        <w:t>theory ,</w:t>
      </w:r>
      <w:proofErr w:type="gramEnd"/>
      <w:r w:rsidRPr="00A039D0">
        <w:t xml:space="preserve"> people should be less affected by a smaller increase</w:t>
      </w:r>
      <w:r w:rsidRPr="00387632">
        <w:t xml:space="preserve"> </w:t>
      </w:r>
      <w:r>
        <w:t xml:space="preserve">in pay </w:t>
      </w:r>
      <w:r w:rsidRPr="00387632">
        <w:t>than by a decrease of the same level.</w:t>
      </w:r>
    </w:p>
    <w:p w:rsidR="00A726D3" w:rsidRPr="00387632" w:rsidRDefault="00A726D3" w:rsidP="00A726D3">
      <w:pPr>
        <w:pStyle w:val="ListParagraph"/>
        <w:numPr>
          <w:ilvl w:val="1"/>
          <w:numId w:val="1"/>
        </w:numPr>
        <w:autoSpaceDE w:val="0"/>
        <w:autoSpaceDN w:val="0"/>
        <w:adjustRightInd w:val="0"/>
        <w:spacing w:after="120" w:line="240" w:lineRule="auto"/>
        <w:ind w:left="567" w:hanging="567"/>
        <w:contextualSpacing w:val="0"/>
      </w:pPr>
      <w:r w:rsidRPr="00387632">
        <w:t xml:space="preserve">The first company to introduce this mechanism as part of </w:t>
      </w:r>
      <w:proofErr w:type="spellStart"/>
      <w:r w:rsidRPr="00387632">
        <w:t>Bernatzi</w:t>
      </w:r>
      <w:proofErr w:type="spellEnd"/>
      <w:r w:rsidRPr="00387632">
        <w:t xml:space="preserve"> and </w:t>
      </w:r>
      <w:proofErr w:type="spellStart"/>
      <w:r w:rsidRPr="00387632">
        <w:t>Thaler’s</w:t>
      </w:r>
      <w:proofErr w:type="spellEnd"/>
      <w:r w:rsidRPr="00387632">
        <w:t xml:space="preserve"> initial </w:t>
      </w:r>
      <w:r w:rsidRPr="00AA0BFE">
        <w:t>research</w:t>
      </w:r>
      <w:r w:rsidR="00AA0BFE" w:rsidRPr="00AA0BFE">
        <w:rPr>
          <w:vertAlign w:val="superscript"/>
        </w:rPr>
        <w:fldChar w:fldCharType="begin"/>
      </w:r>
      <w:r w:rsidR="00AA0BFE" w:rsidRPr="00AA0BFE">
        <w:rPr>
          <w:vertAlign w:val="superscript"/>
        </w:rPr>
        <w:instrText xml:space="preserve"> NOTEREF _Ref494045321 \h </w:instrText>
      </w:r>
      <w:r w:rsidR="00AA0BFE" w:rsidRPr="00AA0BFE">
        <w:rPr>
          <w:vertAlign w:val="superscript"/>
        </w:rPr>
      </w:r>
      <w:r w:rsidR="00AA0BFE">
        <w:rPr>
          <w:vertAlign w:val="superscript"/>
        </w:rPr>
        <w:instrText xml:space="preserve"> \* MERGEFORMAT </w:instrText>
      </w:r>
      <w:r w:rsidR="00AA0BFE" w:rsidRPr="00AA0BFE">
        <w:rPr>
          <w:vertAlign w:val="superscript"/>
        </w:rPr>
        <w:fldChar w:fldCharType="separate"/>
      </w:r>
      <w:r w:rsidR="00AA0BFE" w:rsidRPr="00AA0BFE">
        <w:rPr>
          <w:vertAlign w:val="superscript"/>
        </w:rPr>
        <w:t>21</w:t>
      </w:r>
      <w:r w:rsidR="00AA0BFE" w:rsidRPr="00AA0BFE">
        <w:rPr>
          <w:vertAlign w:val="superscript"/>
        </w:rPr>
        <w:fldChar w:fldCharType="end"/>
      </w:r>
      <w:r w:rsidRPr="00387632">
        <w:t xml:space="preserve">  achieved large success in increasing members’ contributions. 78% of employees signed up to the scheme, with contributions increasing from 3.5% in year one to 13.6% slightly less than 4 years later (compared to members who acted on the advised savings rate of the advisor who were contributing 8.8%).</w:t>
      </w:r>
    </w:p>
    <w:p w:rsidR="00A726D3" w:rsidRPr="00387632" w:rsidRDefault="00A726D3" w:rsidP="00A726D3">
      <w:pPr>
        <w:pStyle w:val="ListParagraph"/>
        <w:numPr>
          <w:ilvl w:val="1"/>
          <w:numId w:val="1"/>
        </w:numPr>
        <w:autoSpaceDE w:val="0"/>
        <w:autoSpaceDN w:val="0"/>
        <w:adjustRightInd w:val="0"/>
        <w:spacing w:after="120" w:line="240" w:lineRule="auto"/>
        <w:ind w:left="567" w:hanging="567"/>
        <w:contextualSpacing w:val="0"/>
      </w:pPr>
      <w:r w:rsidRPr="00387632">
        <w:t>In the US, under the Pension Protection Act 2006, firms are encouraged to introduce auto-enrolment into schemes with an auto-escalation element. Employers who adopt schemes with the features below are granted “safe harb</w:t>
      </w:r>
      <w:r>
        <w:t>ou</w:t>
      </w:r>
      <w:r w:rsidRPr="00387632">
        <w:t>r” from a number of restrictive and expensive compliance regulations</w:t>
      </w:r>
      <w:r w:rsidR="0011676B" w:rsidRPr="0011676B">
        <w:rPr>
          <w:vertAlign w:val="superscript"/>
        </w:rPr>
        <w:fldChar w:fldCharType="begin"/>
      </w:r>
      <w:r w:rsidR="0011676B" w:rsidRPr="0011676B">
        <w:rPr>
          <w:vertAlign w:val="superscript"/>
        </w:rPr>
        <w:instrText xml:space="preserve"> NOTEREF _Ref494045860 \h </w:instrText>
      </w:r>
      <w:r w:rsidR="0011676B" w:rsidRPr="0011676B">
        <w:rPr>
          <w:vertAlign w:val="superscript"/>
        </w:rPr>
      </w:r>
      <w:r w:rsidR="0011676B">
        <w:rPr>
          <w:vertAlign w:val="superscript"/>
        </w:rPr>
        <w:instrText xml:space="preserve"> \* MERGEFORMAT </w:instrText>
      </w:r>
      <w:r w:rsidR="0011676B" w:rsidRPr="0011676B">
        <w:rPr>
          <w:vertAlign w:val="superscript"/>
        </w:rPr>
        <w:fldChar w:fldCharType="separate"/>
      </w:r>
      <w:r w:rsidR="0011676B" w:rsidRPr="0011676B">
        <w:rPr>
          <w:vertAlign w:val="superscript"/>
        </w:rPr>
        <w:t>5</w:t>
      </w:r>
      <w:r w:rsidR="0011676B" w:rsidRPr="0011676B">
        <w:rPr>
          <w:vertAlign w:val="superscript"/>
        </w:rPr>
        <w:fldChar w:fldCharType="end"/>
      </w:r>
      <w:r w:rsidRPr="00387632">
        <w:t>.</w:t>
      </w:r>
    </w:p>
    <w:p w:rsidR="00A726D3" w:rsidRPr="00387632" w:rsidRDefault="00A726D3" w:rsidP="00A726D3">
      <w:pPr>
        <w:pStyle w:val="ListParagraph"/>
        <w:numPr>
          <w:ilvl w:val="0"/>
          <w:numId w:val="8"/>
        </w:numPr>
        <w:spacing w:after="120" w:line="240" w:lineRule="auto"/>
        <w:contextualSpacing w:val="0"/>
      </w:pPr>
      <w:r w:rsidRPr="00387632">
        <w:t xml:space="preserve">Employees automatically </w:t>
      </w:r>
      <w:r>
        <w:t>enroll</w:t>
      </w:r>
      <w:r w:rsidRPr="00387632">
        <w:t>ed with minimum contributions of 3% (but no more than 10%)</w:t>
      </w:r>
    </w:p>
    <w:p w:rsidR="00A726D3" w:rsidRPr="00387632" w:rsidRDefault="00A726D3" w:rsidP="00A726D3">
      <w:pPr>
        <w:pStyle w:val="ListParagraph"/>
        <w:numPr>
          <w:ilvl w:val="0"/>
          <w:numId w:val="8"/>
        </w:numPr>
        <w:spacing w:after="120" w:line="240" w:lineRule="auto"/>
        <w:contextualSpacing w:val="0"/>
      </w:pPr>
      <w:r w:rsidRPr="00387632">
        <w:t>Employee contributions increase to at least 4% in year 2, 5% in year 3 and 6% in year 4 and beyond (but no more than 10%)</w:t>
      </w:r>
    </w:p>
    <w:p w:rsidR="00A726D3" w:rsidRPr="00387632" w:rsidRDefault="00A726D3" w:rsidP="00A726D3">
      <w:pPr>
        <w:pStyle w:val="ListParagraph"/>
        <w:numPr>
          <w:ilvl w:val="0"/>
          <w:numId w:val="8"/>
        </w:numPr>
        <w:spacing w:after="120" w:line="240" w:lineRule="auto"/>
        <w:contextualSpacing w:val="0"/>
      </w:pPr>
      <w:r w:rsidRPr="00387632">
        <w:t>Employer contributions of either:</w:t>
      </w:r>
    </w:p>
    <w:p w:rsidR="00A726D3" w:rsidRPr="00387632" w:rsidRDefault="00A726D3" w:rsidP="00A726D3">
      <w:pPr>
        <w:pStyle w:val="ListParagraph"/>
        <w:numPr>
          <w:ilvl w:val="1"/>
          <w:numId w:val="8"/>
        </w:numPr>
        <w:spacing w:after="120" w:line="240" w:lineRule="auto"/>
        <w:contextualSpacing w:val="0"/>
      </w:pPr>
      <w:r w:rsidRPr="00387632">
        <w:t>3%</w:t>
      </w:r>
    </w:p>
    <w:p w:rsidR="00A726D3" w:rsidRPr="00387632" w:rsidRDefault="00A726D3" w:rsidP="00A726D3">
      <w:pPr>
        <w:pStyle w:val="ListParagraph"/>
        <w:numPr>
          <w:ilvl w:val="1"/>
          <w:numId w:val="8"/>
        </w:numPr>
        <w:spacing w:after="120" w:line="240" w:lineRule="auto"/>
        <w:contextualSpacing w:val="0"/>
      </w:pPr>
      <w:r w:rsidRPr="00387632">
        <w:lastRenderedPageBreak/>
        <w:t>1:1 matching up to 1% followed by 0.5:1 up to 6%</w:t>
      </w:r>
    </w:p>
    <w:p w:rsidR="00A726D3" w:rsidRPr="00387632" w:rsidRDefault="00A726D3" w:rsidP="00A726D3">
      <w:pPr>
        <w:pStyle w:val="ListParagraph"/>
        <w:numPr>
          <w:ilvl w:val="1"/>
          <w:numId w:val="1"/>
        </w:numPr>
        <w:autoSpaceDE w:val="0"/>
        <w:autoSpaceDN w:val="0"/>
        <w:adjustRightInd w:val="0"/>
        <w:spacing w:after="120" w:line="240" w:lineRule="auto"/>
        <w:ind w:left="567" w:hanging="567"/>
        <w:contextualSpacing w:val="0"/>
      </w:pPr>
      <w:r w:rsidRPr="00387632">
        <w:t xml:space="preserve">These incentives have had a positive effect in the US; </w:t>
      </w:r>
      <w:r>
        <w:t>following</w:t>
      </w:r>
      <w:r w:rsidRPr="00387632">
        <w:t xml:space="preserve"> the in</w:t>
      </w:r>
      <w:r>
        <w:t xml:space="preserve">troduction </w:t>
      </w:r>
      <w:r w:rsidRPr="00387632">
        <w:t xml:space="preserve">of auto-escalation in 2004, by 2011 51% of employers offering a 401(k) </w:t>
      </w:r>
      <w:r>
        <w:t xml:space="preserve">plan </w:t>
      </w:r>
      <w:r w:rsidRPr="00387632">
        <w:t>had some form of automatic escalation in place</w:t>
      </w:r>
      <w:r w:rsidR="00AA0BFE" w:rsidRPr="00AA0BFE">
        <w:rPr>
          <w:vertAlign w:val="superscript"/>
        </w:rPr>
        <w:fldChar w:fldCharType="begin"/>
      </w:r>
      <w:r w:rsidR="00AA0BFE" w:rsidRPr="00AA0BFE">
        <w:rPr>
          <w:vertAlign w:val="superscript"/>
        </w:rPr>
        <w:instrText xml:space="preserve"> NOTEREF _Ref494045436 \h </w:instrText>
      </w:r>
      <w:r w:rsidR="00AA0BFE" w:rsidRPr="00AA0BFE">
        <w:rPr>
          <w:vertAlign w:val="superscript"/>
        </w:rPr>
      </w:r>
      <w:r w:rsidR="00AA0BFE">
        <w:rPr>
          <w:vertAlign w:val="superscript"/>
        </w:rPr>
        <w:instrText xml:space="preserve"> \* MERGEFORMAT </w:instrText>
      </w:r>
      <w:r w:rsidR="00AA0BFE" w:rsidRPr="00AA0BFE">
        <w:rPr>
          <w:vertAlign w:val="superscript"/>
        </w:rPr>
        <w:fldChar w:fldCharType="separate"/>
      </w:r>
      <w:r w:rsidR="00AA0BFE" w:rsidRPr="00AA0BFE">
        <w:rPr>
          <w:vertAlign w:val="superscript"/>
        </w:rPr>
        <w:t>5</w:t>
      </w:r>
      <w:r w:rsidR="00AA0BFE" w:rsidRPr="00AA0BFE">
        <w:rPr>
          <w:vertAlign w:val="superscript"/>
        </w:rPr>
        <w:fldChar w:fldCharType="end"/>
      </w:r>
      <w:r w:rsidRPr="00387632">
        <w:t xml:space="preserve">. </w:t>
      </w:r>
    </w:p>
    <w:p w:rsidR="00A726D3" w:rsidRPr="00387632" w:rsidRDefault="00A726D3" w:rsidP="00A726D3">
      <w:pPr>
        <w:pStyle w:val="ListParagraph"/>
        <w:numPr>
          <w:ilvl w:val="1"/>
          <w:numId w:val="1"/>
        </w:numPr>
        <w:autoSpaceDE w:val="0"/>
        <w:autoSpaceDN w:val="0"/>
        <w:adjustRightInd w:val="0"/>
        <w:spacing w:after="120" w:line="240" w:lineRule="auto"/>
        <w:ind w:left="567" w:hanging="567"/>
        <w:contextualSpacing w:val="0"/>
      </w:pPr>
      <w:r w:rsidRPr="00387632">
        <w:t>Thaler</w:t>
      </w:r>
      <w:r w:rsidR="00AA0BFE" w:rsidRPr="00AA0BFE">
        <w:rPr>
          <w:vertAlign w:val="superscript"/>
        </w:rPr>
        <w:fldChar w:fldCharType="begin"/>
      </w:r>
      <w:r w:rsidR="00AA0BFE" w:rsidRPr="00AA0BFE">
        <w:rPr>
          <w:vertAlign w:val="superscript"/>
        </w:rPr>
        <w:instrText xml:space="preserve"> NOTEREF _Ref494045436 \h </w:instrText>
      </w:r>
      <w:r w:rsidR="00AA0BFE" w:rsidRPr="00AA0BFE">
        <w:rPr>
          <w:vertAlign w:val="superscript"/>
        </w:rPr>
      </w:r>
      <w:r w:rsidR="00AA0BFE">
        <w:rPr>
          <w:vertAlign w:val="superscript"/>
        </w:rPr>
        <w:instrText xml:space="preserve"> \* MERGEFORMAT </w:instrText>
      </w:r>
      <w:r w:rsidR="00AA0BFE" w:rsidRPr="00AA0BFE">
        <w:rPr>
          <w:vertAlign w:val="superscript"/>
        </w:rPr>
        <w:fldChar w:fldCharType="separate"/>
      </w:r>
      <w:r w:rsidR="00AA0BFE" w:rsidRPr="00AA0BFE">
        <w:rPr>
          <w:vertAlign w:val="superscript"/>
        </w:rPr>
        <w:t>5</w:t>
      </w:r>
      <w:r w:rsidR="00AA0BFE" w:rsidRPr="00AA0BFE">
        <w:rPr>
          <w:vertAlign w:val="superscript"/>
        </w:rPr>
        <w:fldChar w:fldCharType="end"/>
      </w:r>
      <w:r w:rsidRPr="00387632">
        <w:t xml:space="preserve"> stresses that a key factor in the success of a scheme with auto-escalation is the ease of which a member can sign up to the increases, highlighting that the initial success of the original </w:t>
      </w:r>
      <w:r>
        <w:t>auto-escalation (“</w:t>
      </w:r>
      <w:r w:rsidRPr="00387632">
        <w:t>Save More Tomorrow</w:t>
      </w:r>
      <w:r>
        <w:t>”)</w:t>
      </w:r>
      <w:r w:rsidRPr="00387632">
        <w:t xml:space="preserve"> plan hinged on the fact that employees all met with a financial adviser who would complete all the necessary paperwork on their behalf.</w:t>
      </w:r>
    </w:p>
    <w:p w:rsidR="00A726D3" w:rsidRPr="00387632" w:rsidRDefault="00A726D3" w:rsidP="00A726D3">
      <w:pPr>
        <w:pStyle w:val="ListParagraph"/>
        <w:numPr>
          <w:ilvl w:val="1"/>
          <w:numId w:val="1"/>
        </w:numPr>
        <w:autoSpaceDE w:val="0"/>
        <w:autoSpaceDN w:val="0"/>
        <w:adjustRightInd w:val="0"/>
        <w:spacing w:after="120" w:line="240" w:lineRule="auto"/>
        <w:ind w:left="567" w:hanging="567"/>
        <w:contextualSpacing w:val="0"/>
      </w:pPr>
      <w:r w:rsidRPr="00387632">
        <w:t xml:space="preserve">Automatic escalation appears to be a highly effective method for encouraging long term workers to increase their pension contributions over time. However, if there is a largely transient work force (as in many industries in the UK) employees would not benefit from their increased savings rates before moving to another position and starting again at the </w:t>
      </w:r>
      <w:r>
        <w:t>lowest savings rates</w:t>
      </w:r>
      <w:r w:rsidRPr="00387632">
        <w:t xml:space="preserve">. </w:t>
      </w:r>
    </w:p>
    <w:p w:rsidR="00A726D3" w:rsidRPr="00387632" w:rsidRDefault="00A726D3" w:rsidP="00A726D3">
      <w:pPr>
        <w:pStyle w:val="ListParagraph"/>
        <w:numPr>
          <w:ilvl w:val="1"/>
          <w:numId w:val="1"/>
        </w:numPr>
        <w:autoSpaceDE w:val="0"/>
        <w:autoSpaceDN w:val="0"/>
        <w:adjustRightInd w:val="0"/>
        <w:spacing w:after="120" w:line="240" w:lineRule="auto"/>
        <w:ind w:left="567" w:hanging="567"/>
        <w:contextualSpacing w:val="0"/>
      </w:pPr>
      <w:r w:rsidRPr="00387632">
        <w:t>The other main criticism of automatic escalation is that it relies on employees receiving regular and reasonable pay rises</w:t>
      </w:r>
      <w:r>
        <w:t>, to prevent a fall in take home pay when pension contributions rise.</w:t>
      </w:r>
      <w:r w:rsidRPr="00387632">
        <w:t xml:space="preserve"> Since the economic crisis</w:t>
      </w:r>
      <w:r>
        <w:t>,</w:t>
      </w:r>
      <w:r w:rsidRPr="00387632">
        <w:t xml:space="preserve"> wage growth in the UK has been very low. </w:t>
      </w:r>
    </w:p>
    <w:p w:rsidR="00A726D3" w:rsidRPr="00A0755B" w:rsidRDefault="00A726D3" w:rsidP="00A726D3">
      <w:pPr>
        <w:pStyle w:val="ListParagraph"/>
        <w:numPr>
          <w:ilvl w:val="0"/>
          <w:numId w:val="1"/>
        </w:numPr>
        <w:spacing w:before="360" w:after="120"/>
        <w:ind w:left="567" w:hanging="567"/>
        <w:contextualSpacing w:val="0"/>
        <w:rPr>
          <w:b/>
          <w:sz w:val="28"/>
          <w:szCs w:val="28"/>
        </w:rPr>
      </w:pPr>
      <w:r w:rsidRPr="00A0755B">
        <w:rPr>
          <w:b/>
          <w:sz w:val="28"/>
          <w:szCs w:val="28"/>
        </w:rPr>
        <w:t>People saving for longer</w:t>
      </w:r>
    </w:p>
    <w:p w:rsidR="00A726D3" w:rsidRPr="00A0755B" w:rsidRDefault="00A726D3" w:rsidP="00A726D3">
      <w:pPr>
        <w:pStyle w:val="ListParagraph"/>
        <w:autoSpaceDE w:val="0"/>
        <w:autoSpaceDN w:val="0"/>
        <w:adjustRightInd w:val="0"/>
        <w:spacing w:after="120" w:line="240" w:lineRule="auto"/>
        <w:ind w:left="567"/>
        <w:contextualSpacing w:val="0"/>
        <w:rPr>
          <w:b/>
          <w:sz w:val="24"/>
          <w:szCs w:val="24"/>
        </w:rPr>
      </w:pPr>
      <w:r w:rsidRPr="00A0755B">
        <w:rPr>
          <w:b/>
          <w:sz w:val="24"/>
          <w:szCs w:val="24"/>
        </w:rPr>
        <w:t>Automatic enrolment</w:t>
      </w:r>
    </w:p>
    <w:p w:rsidR="00A726D3" w:rsidRPr="00387632" w:rsidRDefault="00A726D3" w:rsidP="00A726D3">
      <w:pPr>
        <w:pStyle w:val="ListParagraph"/>
        <w:numPr>
          <w:ilvl w:val="1"/>
          <w:numId w:val="1"/>
        </w:numPr>
        <w:autoSpaceDE w:val="0"/>
        <w:autoSpaceDN w:val="0"/>
        <w:adjustRightInd w:val="0"/>
        <w:spacing w:after="120" w:line="240" w:lineRule="auto"/>
        <w:ind w:left="567" w:hanging="567"/>
        <w:contextualSpacing w:val="0"/>
      </w:pPr>
      <w:r w:rsidRPr="00387632">
        <w:t xml:space="preserve">Automatic enrolment </w:t>
      </w:r>
      <w:r>
        <w:t>has</w:t>
      </w:r>
      <w:r w:rsidRPr="00387632">
        <w:t xml:space="preserve"> result</w:t>
      </w:r>
      <w:r>
        <w:t>ed</w:t>
      </w:r>
      <w:r w:rsidRPr="00387632">
        <w:t xml:space="preserve"> in many more people saving into a pension and the increase in participation has been the greatest amongst younger workers and lower paid workers</w:t>
      </w:r>
      <w:r w:rsidR="00AA0BFE" w:rsidRPr="00AA0BFE">
        <w:rPr>
          <w:vertAlign w:val="superscript"/>
        </w:rPr>
        <w:fldChar w:fldCharType="begin"/>
      </w:r>
      <w:r w:rsidR="00AA0BFE" w:rsidRPr="00AA0BFE">
        <w:rPr>
          <w:vertAlign w:val="superscript"/>
        </w:rPr>
        <w:instrText xml:space="preserve"> NOTEREF _Ref494043295 \h </w:instrText>
      </w:r>
      <w:r w:rsidR="00AA0BFE" w:rsidRPr="00AA0BFE">
        <w:rPr>
          <w:vertAlign w:val="superscript"/>
        </w:rPr>
      </w:r>
      <w:r w:rsidR="00AA0BFE">
        <w:rPr>
          <w:vertAlign w:val="superscript"/>
        </w:rPr>
        <w:instrText xml:space="preserve"> \* MERGEFORMAT </w:instrText>
      </w:r>
      <w:r w:rsidR="00AA0BFE" w:rsidRPr="00AA0BFE">
        <w:rPr>
          <w:vertAlign w:val="superscript"/>
        </w:rPr>
        <w:fldChar w:fldCharType="separate"/>
      </w:r>
      <w:r w:rsidR="00AA0BFE" w:rsidRPr="00AA0BFE">
        <w:rPr>
          <w:vertAlign w:val="superscript"/>
        </w:rPr>
        <w:t>2</w:t>
      </w:r>
      <w:r w:rsidR="00AA0BFE" w:rsidRPr="00AA0BFE">
        <w:rPr>
          <w:vertAlign w:val="superscript"/>
        </w:rPr>
        <w:fldChar w:fldCharType="end"/>
      </w:r>
      <w:r w:rsidRPr="00387632">
        <w:t>. However, this could be improved upon if the lower age limit for an eligible jobholder was reduced from 22 to (say) 16</w:t>
      </w:r>
      <w:r>
        <w:t xml:space="preserve"> or the upper limit were extended beyond State pension age.</w:t>
      </w:r>
    </w:p>
    <w:p w:rsidR="00A726D3" w:rsidRPr="00A0755B" w:rsidRDefault="00A726D3" w:rsidP="00A726D3">
      <w:pPr>
        <w:pStyle w:val="ListParagraph"/>
        <w:autoSpaceDE w:val="0"/>
        <w:autoSpaceDN w:val="0"/>
        <w:adjustRightInd w:val="0"/>
        <w:spacing w:after="120" w:line="240" w:lineRule="auto"/>
        <w:ind w:left="567"/>
        <w:contextualSpacing w:val="0"/>
        <w:rPr>
          <w:b/>
          <w:sz w:val="24"/>
          <w:szCs w:val="24"/>
        </w:rPr>
      </w:pPr>
      <w:r w:rsidRPr="00A0755B">
        <w:rPr>
          <w:b/>
          <w:sz w:val="24"/>
          <w:szCs w:val="24"/>
        </w:rPr>
        <w:t>Encouraging workers to stay in employment</w:t>
      </w:r>
    </w:p>
    <w:p w:rsidR="00A726D3" w:rsidRPr="00387632" w:rsidRDefault="00A726D3" w:rsidP="00A726D3">
      <w:pPr>
        <w:pStyle w:val="ListParagraph"/>
        <w:numPr>
          <w:ilvl w:val="1"/>
          <w:numId w:val="1"/>
        </w:numPr>
        <w:autoSpaceDE w:val="0"/>
        <w:autoSpaceDN w:val="0"/>
        <w:adjustRightInd w:val="0"/>
        <w:spacing w:after="120" w:line="240" w:lineRule="auto"/>
        <w:ind w:left="567" w:hanging="567"/>
        <w:contextualSpacing w:val="0"/>
      </w:pPr>
      <w:r w:rsidRPr="00387632">
        <w:t>An alternative to trying to increase member contributions would be to encourage workers to remain in employment longer. If people work for longer, they will have longer to save for retirement and less time to fund in retirement. The PPI</w:t>
      </w:r>
      <w:r w:rsidR="00EA3048" w:rsidRPr="00EA3048">
        <w:rPr>
          <w:vertAlign w:val="superscript"/>
        </w:rPr>
        <w:fldChar w:fldCharType="begin"/>
      </w:r>
      <w:r w:rsidR="00EA3048" w:rsidRPr="00EA3048">
        <w:rPr>
          <w:vertAlign w:val="superscript"/>
        </w:rPr>
        <w:instrText xml:space="preserve"> NOTEREF _Ref494043771 \h </w:instrText>
      </w:r>
      <w:r w:rsidR="00EA3048" w:rsidRPr="00EA3048">
        <w:rPr>
          <w:vertAlign w:val="superscript"/>
        </w:rPr>
      </w:r>
      <w:r w:rsidR="00EA3048">
        <w:rPr>
          <w:vertAlign w:val="superscript"/>
        </w:rPr>
        <w:instrText xml:space="preserve"> \* MERGEFORMAT </w:instrText>
      </w:r>
      <w:r w:rsidR="00EA3048" w:rsidRPr="00EA3048">
        <w:rPr>
          <w:vertAlign w:val="superscript"/>
        </w:rPr>
        <w:fldChar w:fldCharType="separate"/>
      </w:r>
      <w:r w:rsidR="00EA3048" w:rsidRPr="00EA3048">
        <w:rPr>
          <w:vertAlign w:val="superscript"/>
        </w:rPr>
        <w:t>4</w:t>
      </w:r>
      <w:r w:rsidR="00EA3048" w:rsidRPr="00EA3048">
        <w:rPr>
          <w:vertAlign w:val="superscript"/>
        </w:rPr>
        <w:fldChar w:fldCharType="end"/>
      </w:r>
      <w:r w:rsidRPr="00387632">
        <w:t xml:space="preserve"> state that retiring 2 years after </w:t>
      </w:r>
      <w:r>
        <w:t>State pension age</w:t>
      </w:r>
      <w:r w:rsidRPr="00387632">
        <w:t xml:space="preserve"> could enhance income by to 20%, whereas retiring 2 years before </w:t>
      </w:r>
      <w:r>
        <w:t>that age</w:t>
      </w:r>
      <w:r w:rsidRPr="00387632">
        <w:t xml:space="preserve"> could reduce income by 18%.</w:t>
      </w:r>
    </w:p>
    <w:p w:rsidR="00A726D3" w:rsidRPr="00387632" w:rsidRDefault="00A726D3" w:rsidP="00A726D3">
      <w:pPr>
        <w:pStyle w:val="ListParagraph"/>
        <w:numPr>
          <w:ilvl w:val="1"/>
          <w:numId w:val="1"/>
        </w:numPr>
        <w:autoSpaceDE w:val="0"/>
        <w:autoSpaceDN w:val="0"/>
        <w:adjustRightInd w:val="0"/>
        <w:spacing w:after="120" w:line="240" w:lineRule="auto"/>
        <w:ind w:left="567" w:hanging="567"/>
        <w:contextualSpacing w:val="0"/>
      </w:pPr>
      <w:r w:rsidRPr="00387632">
        <w:t>The DWP</w:t>
      </w:r>
      <w:r w:rsidR="00EA3048">
        <w:rPr>
          <w:rStyle w:val="FootnoteReference"/>
        </w:rPr>
        <w:footnoteReference w:id="26"/>
      </w:r>
      <w:r w:rsidRPr="00387632">
        <w:t xml:space="preserve"> have conducted extensive research into encouraging workers to stay in employment. The key findings of their research were: </w:t>
      </w:r>
    </w:p>
    <w:p w:rsidR="00A726D3" w:rsidRPr="00387632" w:rsidRDefault="00A726D3" w:rsidP="00A726D3">
      <w:pPr>
        <w:pStyle w:val="ListParagraph"/>
        <w:numPr>
          <w:ilvl w:val="0"/>
          <w:numId w:val="7"/>
        </w:numPr>
        <w:spacing w:after="120" w:line="240" w:lineRule="auto"/>
        <w:contextualSpacing w:val="0"/>
      </w:pPr>
      <w:r w:rsidRPr="00387632">
        <w:t xml:space="preserve">There are strong social norms for retirement at or before </w:t>
      </w:r>
      <w:r>
        <w:t>State pension age</w:t>
      </w:r>
      <w:r w:rsidRPr="00387632">
        <w:t>.</w:t>
      </w:r>
    </w:p>
    <w:p w:rsidR="00A726D3" w:rsidRPr="00387632" w:rsidRDefault="00A726D3" w:rsidP="00A726D3">
      <w:pPr>
        <w:pStyle w:val="ListParagraph"/>
        <w:numPr>
          <w:ilvl w:val="0"/>
          <w:numId w:val="7"/>
        </w:numPr>
        <w:spacing w:after="120" w:line="240" w:lineRule="auto"/>
        <w:contextualSpacing w:val="0"/>
      </w:pPr>
      <w:r w:rsidRPr="00387632">
        <w:t>A large number of people would consider working longer, but want changes in hours and flexibility.</w:t>
      </w:r>
    </w:p>
    <w:p w:rsidR="00A726D3" w:rsidRPr="00387632" w:rsidRDefault="00A726D3" w:rsidP="00A726D3">
      <w:pPr>
        <w:pStyle w:val="ListParagraph"/>
        <w:numPr>
          <w:ilvl w:val="0"/>
          <w:numId w:val="7"/>
        </w:numPr>
        <w:spacing w:after="120" w:line="240" w:lineRule="auto"/>
        <w:contextualSpacing w:val="0"/>
      </w:pPr>
      <w:r w:rsidRPr="00387632">
        <w:t>Most are passive rather than active decision makers and are not likely to engage in making rational decisions.</w:t>
      </w:r>
    </w:p>
    <w:p w:rsidR="00A726D3" w:rsidRPr="00387632" w:rsidRDefault="00A726D3" w:rsidP="00A726D3">
      <w:pPr>
        <w:pStyle w:val="ListParagraph"/>
        <w:numPr>
          <w:ilvl w:val="0"/>
          <w:numId w:val="7"/>
        </w:numPr>
        <w:spacing w:after="120" w:line="240" w:lineRule="auto"/>
        <w:contextualSpacing w:val="0"/>
      </w:pPr>
      <w:r w:rsidRPr="00387632">
        <w:t xml:space="preserve">There is a lack of knowledge and understanding and a lack of trust in </w:t>
      </w:r>
      <w:r>
        <w:t xml:space="preserve">the </w:t>
      </w:r>
      <w:r w:rsidRPr="00387632">
        <w:t xml:space="preserve">system. </w:t>
      </w:r>
    </w:p>
    <w:p w:rsidR="00A726D3" w:rsidRPr="00387632" w:rsidRDefault="00A726D3" w:rsidP="00A726D3">
      <w:pPr>
        <w:pStyle w:val="ListParagraph"/>
        <w:numPr>
          <w:ilvl w:val="1"/>
          <w:numId w:val="1"/>
        </w:numPr>
        <w:autoSpaceDE w:val="0"/>
        <w:autoSpaceDN w:val="0"/>
        <w:adjustRightInd w:val="0"/>
        <w:spacing w:after="120" w:line="240" w:lineRule="auto"/>
        <w:ind w:left="567" w:hanging="567"/>
        <w:contextualSpacing w:val="0"/>
      </w:pPr>
      <w:r>
        <w:t>T</w:t>
      </w:r>
      <w:r w:rsidRPr="00387632">
        <w:t>hey conclude</w:t>
      </w:r>
      <w:r>
        <w:t xml:space="preserve"> that</w:t>
      </w:r>
      <w:r w:rsidRPr="00387632">
        <w:t xml:space="preserve"> to encourage workers to stay in employment:</w:t>
      </w:r>
    </w:p>
    <w:p w:rsidR="00A726D3" w:rsidRPr="00387632" w:rsidRDefault="00A726D3" w:rsidP="00A726D3">
      <w:pPr>
        <w:pStyle w:val="ListParagraph"/>
        <w:numPr>
          <w:ilvl w:val="0"/>
          <w:numId w:val="7"/>
        </w:numPr>
        <w:spacing w:after="120" w:line="240" w:lineRule="auto"/>
        <w:contextualSpacing w:val="0"/>
      </w:pPr>
      <w:r w:rsidRPr="00387632">
        <w:t>Communications should use broad statements rather than detailed analysis.</w:t>
      </w:r>
    </w:p>
    <w:p w:rsidR="00A726D3" w:rsidRPr="00387632" w:rsidRDefault="00A726D3" w:rsidP="00A726D3">
      <w:pPr>
        <w:pStyle w:val="ListParagraph"/>
        <w:numPr>
          <w:ilvl w:val="0"/>
          <w:numId w:val="7"/>
        </w:numPr>
        <w:spacing w:after="120" w:line="240" w:lineRule="auto"/>
        <w:contextualSpacing w:val="0"/>
      </w:pPr>
      <w:r w:rsidRPr="00387632">
        <w:t>Encouragement should be given to employers to make staying in work as easy as possible.</w:t>
      </w:r>
    </w:p>
    <w:p w:rsidR="00A726D3" w:rsidRPr="00387632" w:rsidRDefault="00A726D3" w:rsidP="00A726D3">
      <w:pPr>
        <w:pStyle w:val="ListParagraph"/>
        <w:numPr>
          <w:ilvl w:val="0"/>
          <w:numId w:val="7"/>
        </w:numPr>
        <w:spacing w:after="120" w:line="240" w:lineRule="auto"/>
        <w:contextualSpacing w:val="0"/>
      </w:pPr>
      <w:r w:rsidRPr="00387632">
        <w:t>Focus efforts on those working in sectors where flexibility is possible.</w:t>
      </w:r>
    </w:p>
    <w:p w:rsidR="00A726D3" w:rsidRPr="00387632" w:rsidRDefault="00A726D3" w:rsidP="00A726D3">
      <w:pPr>
        <w:pStyle w:val="ListParagraph"/>
        <w:numPr>
          <w:ilvl w:val="0"/>
          <w:numId w:val="7"/>
        </w:numPr>
        <w:spacing w:after="120" w:line="240" w:lineRule="auto"/>
        <w:contextualSpacing w:val="0"/>
      </w:pPr>
      <w:r w:rsidRPr="00387632">
        <w:lastRenderedPageBreak/>
        <w:t>Tax breaks could be used, but would need careful communication.</w:t>
      </w:r>
    </w:p>
    <w:p w:rsidR="00A726D3" w:rsidRPr="00A0755B" w:rsidRDefault="00A726D3" w:rsidP="00A726D3">
      <w:pPr>
        <w:pStyle w:val="ListParagraph"/>
        <w:numPr>
          <w:ilvl w:val="0"/>
          <w:numId w:val="1"/>
        </w:numPr>
        <w:spacing w:before="360" w:after="120"/>
        <w:ind w:left="567" w:hanging="567"/>
        <w:contextualSpacing w:val="0"/>
        <w:rPr>
          <w:b/>
          <w:sz w:val="28"/>
          <w:szCs w:val="28"/>
        </w:rPr>
      </w:pPr>
      <w:r w:rsidRPr="00A0755B">
        <w:rPr>
          <w:b/>
          <w:sz w:val="28"/>
          <w:szCs w:val="28"/>
        </w:rPr>
        <w:t>Conclusion</w:t>
      </w:r>
    </w:p>
    <w:p w:rsidR="00A726D3" w:rsidRPr="00387632" w:rsidRDefault="00A726D3" w:rsidP="00A726D3">
      <w:pPr>
        <w:pStyle w:val="ListParagraph"/>
        <w:numPr>
          <w:ilvl w:val="1"/>
          <w:numId w:val="1"/>
        </w:numPr>
        <w:autoSpaceDE w:val="0"/>
        <w:autoSpaceDN w:val="0"/>
        <w:adjustRightInd w:val="0"/>
        <w:spacing w:after="120" w:line="240" w:lineRule="auto"/>
        <w:ind w:left="567" w:hanging="567"/>
        <w:contextualSpacing w:val="0"/>
      </w:pPr>
      <w:r w:rsidRPr="00387632">
        <w:t xml:space="preserve">The level of participation in workplace and personal pensions will have a significant effect on </w:t>
      </w:r>
      <w:r>
        <w:t>potentially solving</w:t>
      </w:r>
      <w:r w:rsidRPr="00387632">
        <w:t xml:space="preserve"> the pension problem in the UK. </w:t>
      </w:r>
    </w:p>
    <w:p w:rsidR="00A726D3" w:rsidRPr="00387632" w:rsidRDefault="00A726D3" w:rsidP="00A726D3">
      <w:pPr>
        <w:pStyle w:val="ListParagraph"/>
        <w:numPr>
          <w:ilvl w:val="1"/>
          <w:numId w:val="1"/>
        </w:numPr>
        <w:autoSpaceDE w:val="0"/>
        <w:autoSpaceDN w:val="0"/>
        <w:adjustRightInd w:val="0"/>
        <w:spacing w:after="120" w:line="240" w:lineRule="auto"/>
        <w:ind w:left="567" w:hanging="567"/>
        <w:contextualSpacing w:val="0"/>
      </w:pPr>
      <w:r w:rsidRPr="00387632">
        <w:t xml:space="preserve">Auto-enrolment has had a very positive effect in increasing the number of people saving into pensions and should also result in people saving for a longer period of time. Despite generally positive views of the scheme’s introduction there are a number of criticisms: </w:t>
      </w:r>
    </w:p>
    <w:p w:rsidR="00A726D3" w:rsidRPr="00387632" w:rsidRDefault="00A726D3" w:rsidP="00A726D3">
      <w:pPr>
        <w:pStyle w:val="ListParagraph"/>
        <w:numPr>
          <w:ilvl w:val="0"/>
          <w:numId w:val="11"/>
        </w:numPr>
        <w:autoSpaceDE w:val="0"/>
        <w:autoSpaceDN w:val="0"/>
        <w:adjustRightInd w:val="0"/>
        <w:spacing w:after="120" w:line="240" w:lineRule="auto"/>
        <w:contextualSpacing w:val="0"/>
      </w:pPr>
      <w:r w:rsidRPr="00387632">
        <w:t xml:space="preserve">Self-employed and multiple low earners are not covered. </w:t>
      </w:r>
    </w:p>
    <w:p w:rsidR="00A726D3" w:rsidRPr="00387632" w:rsidRDefault="00A726D3" w:rsidP="00A726D3">
      <w:pPr>
        <w:pStyle w:val="ListParagraph"/>
        <w:numPr>
          <w:ilvl w:val="0"/>
          <w:numId w:val="11"/>
        </w:numPr>
        <w:autoSpaceDE w:val="0"/>
        <w:autoSpaceDN w:val="0"/>
        <w:adjustRightInd w:val="0"/>
        <w:spacing w:after="120" w:line="240" w:lineRule="auto"/>
        <w:contextualSpacing w:val="0"/>
      </w:pPr>
      <w:r w:rsidRPr="00387632">
        <w:t xml:space="preserve">Contribution rates (even when they reach their ultimate levels in 2019) are widely believed to be insufficient; little is known about the potential rise in opt-out rates if contributions were raised significantly higher. </w:t>
      </w:r>
    </w:p>
    <w:p w:rsidR="00A726D3" w:rsidRPr="00387632" w:rsidRDefault="00A726D3" w:rsidP="00A726D3">
      <w:pPr>
        <w:pStyle w:val="ListParagraph"/>
        <w:numPr>
          <w:ilvl w:val="1"/>
          <w:numId w:val="1"/>
        </w:numPr>
        <w:autoSpaceDE w:val="0"/>
        <w:autoSpaceDN w:val="0"/>
        <w:adjustRightInd w:val="0"/>
        <w:spacing w:after="120" w:line="240" w:lineRule="auto"/>
        <w:ind w:left="567" w:hanging="567"/>
        <w:contextualSpacing w:val="0"/>
      </w:pPr>
      <w:r w:rsidRPr="00387632">
        <w:t xml:space="preserve">Suggestions for opening auto-enrolment up to the self-employed have generally involved the NI or income tax system, although care </w:t>
      </w:r>
      <w:r>
        <w:t>is</w:t>
      </w:r>
      <w:r w:rsidRPr="00387632">
        <w:t xml:space="preserve"> needed to </w:t>
      </w:r>
      <w:r>
        <w:t>ensure the</w:t>
      </w:r>
      <w:r w:rsidRPr="00387632">
        <w:t xml:space="preserve"> ability to opt-out to maintain consistency with employees. </w:t>
      </w:r>
    </w:p>
    <w:p w:rsidR="00A726D3" w:rsidRPr="00387632" w:rsidRDefault="00A726D3" w:rsidP="00A726D3">
      <w:pPr>
        <w:pStyle w:val="ListParagraph"/>
        <w:numPr>
          <w:ilvl w:val="1"/>
          <w:numId w:val="1"/>
        </w:numPr>
        <w:autoSpaceDE w:val="0"/>
        <w:autoSpaceDN w:val="0"/>
        <w:adjustRightInd w:val="0"/>
        <w:spacing w:after="120" w:line="240" w:lineRule="auto"/>
        <w:ind w:left="567" w:hanging="567"/>
        <w:contextualSpacing w:val="0"/>
      </w:pPr>
      <w:r w:rsidRPr="00387632">
        <w:t xml:space="preserve">Compulsory contributions </w:t>
      </w:r>
      <w:r>
        <w:t xml:space="preserve">are ultimately the only way to ensure that </w:t>
      </w:r>
      <w:r w:rsidRPr="00387632">
        <w:t xml:space="preserve">minimum </w:t>
      </w:r>
      <w:r>
        <w:t xml:space="preserve">pension </w:t>
      </w:r>
      <w:r w:rsidRPr="00387632">
        <w:t xml:space="preserve">contribution </w:t>
      </w:r>
      <w:r>
        <w:t xml:space="preserve">levels are achieved </w:t>
      </w:r>
      <w:r w:rsidRPr="00387632">
        <w:t xml:space="preserve">without the risk of larger opt-outs. However, this is a politicised issue and </w:t>
      </w:r>
      <w:r>
        <w:t>not easy to introduce</w:t>
      </w:r>
      <w:r w:rsidRPr="00387632">
        <w:t xml:space="preserve">. If people view these contributions as ‘just another tax’ there is the risk they could become disengaged and expect all responsibility for retirement income adequacy to be passed back to the </w:t>
      </w:r>
      <w:r>
        <w:t>State</w:t>
      </w:r>
      <w:r w:rsidRPr="00387632">
        <w:t>.</w:t>
      </w:r>
      <w:r>
        <w:t xml:space="preserve"> Another issue is whether pension contributions are right for everyone, as opposed to alternative forms of savings such as ISAs.</w:t>
      </w:r>
    </w:p>
    <w:p w:rsidR="00A726D3" w:rsidRPr="00387632" w:rsidRDefault="00A726D3" w:rsidP="00A726D3">
      <w:pPr>
        <w:pStyle w:val="ListParagraph"/>
        <w:numPr>
          <w:ilvl w:val="1"/>
          <w:numId w:val="1"/>
        </w:numPr>
        <w:autoSpaceDE w:val="0"/>
        <w:autoSpaceDN w:val="0"/>
        <w:adjustRightInd w:val="0"/>
        <w:spacing w:after="120" w:line="240" w:lineRule="auto"/>
        <w:ind w:left="567" w:hanging="567"/>
        <w:contextualSpacing w:val="0"/>
      </w:pPr>
      <w:r w:rsidRPr="00387632">
        <w:t>Tax incentives are important when used together with behavioural initiatives but are not likely to have a large effect on savings rates on their own. There is no clear optimal format for tax incentives for saving, but any changes must be considered in the context of the public’s trust in the system.</w:t>
      </w:r>
    </w:p>
    <w:p w:rsidR="00A726D3" w:rsidRPr="00387632" w:rsidRDefault="00A726D3" w:rsidP="00A726D3">
      <w:pPr>
        <w:pStyle w:val="ListParagraph"/>
        <w:numPr>
          <w:ilvl w:val="1"/>
          <w:numId w:val="1"/>
        </w:numPr>
        <w:autoSpaceDE w:val="0"/>
        <w:autoSpaceDN w:val="0"/>
        <w:adjustRightInd w:val="0"/>
        <w:spacing w:after="120" w:line="240" w:lineRule="auto"/>
        <w:ind w:left="567" w:hanging="567"/>
        <w:contextualSpacing w:val="0"/>
      </w:pPr>
      <w:r w:rsidRPr="00387632">
        <w:t>Automatic escalation could help tackle low levels of contributions using behavioural techniques to reduce opt-out rates. However, for auto-escalation to be</w:t>
      </w:r>
      <w:r>
        <w:t xml:space="preserve"> </w:t>
      </w:r>
      <w:r w:rsidRPr="00387632">
        <w:t>effective, you need a stable workforce who are receiving regular reasonable pay rises.  This is unlikely to exist at the system level in the UK in the current climate.</w:t>
      </w:r>
    </w:p>
    <w:p w:rsidR="00A726D3" w:rsidRPr="00414030" w:rsidRDefault="00A726D3" w:rsidP="00A726D3">
      <w:pPr>
        <w:pStyle w:val="ListParagraph"/>
        <w:numPr>
          <w:ilvl w:val="1"/>
          <w:numId w:val="1"/>
        </w:numPr>
        <w:autoSpaceDE w:val="0"/>
        <w:autoSpaceDN w:val="0"/>
        <w:adjustRightInd w:val="0"/>
        <w:spacing w:after="120" w:line="240" w:lineRule="auto"/>
        <w:ind w:left="567" w:hanging="567"/>
        <w:contextualSpacing w:val="0"/>
      </w:pPr>
      <w:r w:rsidRPr="00387632">
        <w:t>With everything above considered, it may be necessary for workers to stay in employment for longer periods of time than previous generations. If this is the case employers should be supported to offer encouragement.</w:t>
      </w:r>
    </w:p>
    <w:p w:rsidR="00A726D3" w:rsidRPr="00A0755B" w:rsidRDefault="00A726D3" w:rsidP="00A726D3">
      <w:pPr>
        <w:pStyle w:val="ListParagraph"/>
        <w:numPr>
          <w:ilvl w:val="0"/>
          <w:numId w:val="1"/>
        </w:numPr>
        <w:spacing w:before="360" w:after="120"/>
        <w:ind w:left="567" w:hanging="567"/>
        <w:contextualSpacing w:val="0"/>
        <w:rPr>
          <w:b/>
          <w:sz w:val="28"/>
          <w:szCs w:val="28"/>
        </w:rPr>
      </w:pPr>
      <w:r>
        <w:rPr>
          <w:b/>
          <w:sz w:val="28"/>
          <w:szCs w:val="28"/>
        </w:rPr>
        <w:t>Research opportunities</w:t>
      </w:r>
    </w:p>
    <w:p w:rsidR="00A726D3" w:rsidRDefault="00A726D3" w:rsidP="00A726D3">
      <w:pPr>
        <w:pStyle w:val="ListParagraph"/>
        <w:numPr>
          <w:ilvl w:val="1"/>
          <w:numId w:val="1"/>
        </w:numPr>
        <w:autoSpaceDE w:val="0"/>
        <w:autoSpaceDN w:val="0"/>
        <w:adjustRightInd w:val="0"/>
        <w:spacing w:after="120" w:line="240" w:lineRule="auto"/>
        <w:ind w:left="567" w:hanging="567"/>
        <w:contextualSpacing w:val="0"/>
      </w:pPr>
      <w:r>
        <w:t>Some thoughts for further research include:</w:t>
      </w:r>
    </w:p>
    <w:p w:rsidR="00A726D3" w:rsidRDefault="00A726D3" w:rsidP="00A726D3">
      <w:pPr>
        <w:pStyle w:val="ListParagraph"/>
        <w:numPr>
          <w:ilvl w:val="0"/>
          <w:numId w:val="12"/>
        </w:numPr>
        <w:ind w:hanging="357"/>
        <w:contextualSpacing w:val="0"/>
      </w:pPr>
      <w:r>
        <w:t>Another paper by this working party discussed the use of profiles of savers in the UK. Such profiles could be used to analyse the impact of various factors on plan participation and how this varies between segments of the population, such as</w:t>
      </w:r>
    </w:p>
    <w:p w:rsidR="00A726D3" w:rsidRDefault="00A726D3" w:rsidP="00A726D3">
      <w:pPr>
        <w:pStyle w:val="ListParagraph"/>
        <w:numPr>
          <w:ilvl w:val="1"/>
          <w:numId w:val="12"/>
        </w:numPr>
        <w:ind w:hanging="357"/>
        <w:contextualSpacing w:val="0"/>
      </w:pPr>
      <w:r>
        <w:t>Current and future proposals for auto-enrolment contribution rates</w:t>
      </w:r>
    </w:p>
    <w:p w:rsidR="00A726D3" w:rsidRDefault="00A726D3" w:rsidP="00A726D3">
      <w:pPr>
        <w:pStyle w:val="ListParagraph"/>
        <w:numPr>
          <w:ilvl w:val="1"/>
          <w:numId w:val="12"/>
        </w:numPr>
        <w:ind w:hanging="357"/>
        <w:contextualSpacing w:val="0"/>
      </w:pPr>
      <w:r>
        <w:t>Effects of varying contribution rates</w:t>
      </w:r>
    </w:p>
    <w:p w:rsidR="00A726D3" w:rsidRDefault="00A726D3" w:rsidP="00A726D3">
      <w:pPr>
        <w:pStyle w:val="ListParagraph"/>
        <w:numPr>
          <w:ilvl w:val="1"/>
          <w:numId w:val="12"/>
        </w:numPr>
        <w:ind w:hanging="357"/>
        <w:contextualSpacing w:val="0"/>
      </w:pPr>
      <w:r>
        <w:t xml:space="preserve">Effects of introducing various auto-escalation approaches </w:t>
      </w:r>
    </w:p>
    <w:p w:rsidR="00A726D3" w:rsidRDefault="00A726D3" w:rsidP="00A726D3">
      <w:pPr>
        <w:pStyle w:val="ListParagraph"/>
        <w:numPr>
          <w:ilvl w:val="0"/>
          <w:numId w:val="12"/>
        </w:numPr>
        <w:ind w:hanging="357"/>
        <w:contextualSpacing w:val="0"/>
      </w:pPr>
      <w:r>
        <w:t>Studying changes to auto-enrolment opt-out rates depending on different contribution levels and the reasons behind them</w:t>
      </w:r>
    </w:p>
    <w:p w:rsidR="00A726D3" w:rsidRDefault="00A726D3" w:rsidP="00A726D3">
      <w:pPr>
        <w:pStyle w:val="ListParagraph"/>
        <w:numPr>
          <w:ilvl w:val="0"/>
          <w:numId w:val="12"/>
        </w:numPr>
        <w:ind w:hanging="357"/>
        <w:contextualSpacing w:val="0"/>
      </w:pPr>
      <w:r>
        <w:lastRenderedPageBreak/>
        <w:t>What plan features are particularly helpful in encouraging savings</w:t>
      </w:r>
    </w:p>
    <w:p w:rsidR="00A726D3" w:rsidRDefault="00A726D3" w:rsidP="00A726D3">
      <w:pPr>
        <w:pStyle w:val="ListParagraph"/>
        <w:numPr>
          <w:ilvl w:val="0"/>
          <w:numId w:val="12"/>
        </w:numPr>
        <w:ind w:hanging="357"/>
        <w:contextualSpacing w:val="0"/>
      </w:pPr>
      <w:r>
        <w:t xml:space="preserve">To what extent the needs of those who also have defined benefit pensions differ from those with only defined contribution, and how this might impact drivers for achieving greater participation </w:t>
      </w:r>
    </w:p>
    <w:p w:rsidR="00A726D3" w:rsidRDefault="00A726D3" w:rsidP="00A726D3">
      <w:pPr>
        <w:pStyle w:val="ListParagraph"/>
        <w:ind w:left="927"/>
      </w:pPr>
    </w:p>
    <w:p w:rsidR="00A726D3" w:rsidRPr="00387632" w:rsidRDefault="00A726D3" w:rsidP="00A726D3">
      <w:pPr>
        <w:rPr>
          <w:u w:val="single"/>
        </w:rPr>
      </w:pPr>
      <w:r w:rsidRPr="00387632">
        <w:rPr>
          <w:u w:val="single"/>
        </w:rPr>
        <w:br w:type="page"/>
      </w:r>
    </w:p>
    <w:p w:rsidR="00404DA5" w:rsidRDefault="00404DA5" w:rsidP="004A7D4C">
      <w:pPr>
        <w:sectPr w:rsidR="00404DA5" w:rsidSect="00CC45F4">
          <w:headerReference w:type="first" r:id="rId8"/>
          <w:pgSz w:w="11906" w:h="16838"/>
          <w:pgMar w:top="1440" w:right="1440" w:bottom="1021" w:left="1440" w:header="709" w:footer="709" w:gutter="0"/>
          <w:cols w:space="708"/>
          <w:titlePg/>
          <w:docGrid w:linePitch="360"/>
        </w:sectPr>
      </w:pPr>
    </w:p>
    <w:tbl>
      <w:tblPr>
        <w:tblStyle w:val="TableGrid"/>
        <w:tblpPr w:leftFromText="180" w:rightFromText="180" w:vertAnchor="page" w:horzAnchor="margin" w:tblpY="32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404DA5" w:rsidRPr="00C1099E" w:rsidTr="002B64A7">
        <w:trPr>
          <w:trHeight w:val="5416"/>
        </w:trPr>
        <w:tc>
          <w:tcPr>
            <w:tcW w:w="9124" w:type="dxa"/>
            <w:tcMar>
              <w:top w:w="113" w:type="dxa"/>
            </w:tcMar>
          </w:tcPr>
          <w:p w:rsidR="00404DA5" w:rsidRPr="00181389" w:rsidRDefault="00404DA5" w:rsidP="00946A78">
            <w:pPr>
              <w:pStyle w:val="backcoverbodycopy"/>
              <w:framePr w:hSpace="0" w:wrap="auto" w:vAnchor="margin" w:hAnchor="text" w:xAlign="left" w:yAlign="inline"/>
              <w:rPr>
                <w:sz w:val="18"/>
                <w:szCs w:val="18"/>
              </w:rPr>
            </w:pPr>
            <w:r w:rsidRPr="006856C5">
              <w:rPr>
                <w:b/>
                <w:spacing w:val="-2"/>
                <w:sz w:val="18"/>
                <w:szCs w:val="18"/>
              </w:rPr>
              <w:lastRenderedPageBreak/>
              <w:t>DISCLAIMER</w:t>
            </w:r>
            <w:r w:rsidRPr="006856C5">
              <w:rPr>
                <w:spacing w:val="-2"/>
                <w:sz w:val="18"/>
                <w:szCs w:val="18"/>
              </w:rPr>
              <w:t xml:space="preserve"> The</w:t>
            </w:r>
            <w:r w:rsidRPr="006856C5">
              <w:rPr>
                <w:spacing w:val="1"/>
                <w:sz w:val="18"/>
                <w:szCs w:val="18"/>
              </w:rPr>
              <w:t xml:space="preserve"> </w:t>
            </w:r>
            <w:r w:rsidRPr="006856C5">
              <w:rPr>
                <w:spacing w:val="-1"/>
                <w:sz w:val="18"/>
                <w:szCs w:val="18"/>
              </w:rPr>
              <w:t>views</w:t>
            </w:r>
            <w:r w:rsidRPr="006856C5">
              <w:rPr>
                <w:spacing w:val="-2"/>
                <w:sz w:val="18"/>
                <w:szCs w:val="18"/>
              </w:rPr>
              <w:t xml:space="preserve"> </w:t>
            </w:r>
            <w:r w:rsidRPr="006856C5">
              <w:rPr>
                <w:spacing w:val="-1"/>
                <w:sz w:val="18"/>
                <w:szCs w:val="18"/>
              </w:rPr>
              <w:t>expressed in</w:t>
            </w:r>
            <w:r w:rsidRPr="006856C5">
              <w:rPr>
                <w:spacing w:val="-3"/>
                <w:sz w:val="18"/>
                <w:szCs w:val="18"/>
              </w:rPr>
              <w:t xml:space="preserve"> </w:t>
            </w:r>
            <w:r w:rsidRPr="006856C5">
              <w:rPr>
                <w:spacing w:val="-1"/>
                <w:sz w:val="18"/>
                <w:szCs w:val="18"/>
              </w:rPr>
              <w:t>this</w:t>
            </w:r>
            <w:r w:rsidRPr="006856C5">
              <w:rPr>
                <w:sz w:val="18"/>
                <w:szCs w:val="18"/>
              </w:rPr>
              <w:t xml:space="preserve"> </w:t>
            </w:r>
            <w:r w:rsidRPr="006856C5">
              <w:rPr>
                <w:spacing w:val="-1"/>
                <w:sz w:val="18"/>
                <w:szCs w:val="18"/>
              </w:rPr>
              <w:t>publication</w:t>
            </w:r>
            <w:r w:rsidRPr="006856C5">
              <w:rPr>
                <w:spacing w:val="-3"/>
                <w:sz w:val="18"/>
                <w:szCs w:val="18"/>
              </w:rPr>
              <w:t xml:space="preserve"> </w:t>
            </w:r>
            <w:r w:rsidRPr="006856C5">
              <w:rPr>
                <w:spacing w:val="-2"/>
                <w:sz w:val="18"/>
                <w:szCs w:val="18"/>
              </w:rPr>
              <w:t>are</w:t>
            </w:r>
            <w:r w:rsidRPr="006856C5">
              <w:rPr>
                <w:spacing w:val="1"/>
                <w:sz w:val="18"/>
                <w:szCs w:val="18"/>
              </w:rPr>
              <w:t xml:space="preserve"> </w:t>
            </w:r>
            <w:r w:rsidRPr="006856C5">
              <w:rPr>
                <w:spacing w:val="-1"/>
                <w:sz w:val="18"/>
                <w:szCs w:val="18"/>
              </w:rPr>
              <w:t>those</w:t>
            </w:r>
            <w:r w:rsidRPr="006856C5">
              <w:rPr>
                <w:spacing w:val="-2"/>
                <w:sz w:val="18"/>
                <w:szCs w:val="18"/>
              </w:rPr>
              <w:t xml:space="preserve"> </w:t>
            </w:r>
            <w:r w:rsidRPr="006856C5">
              <w:rPr>
                <w:sz w:val="18"/>
                <w:szCs w:val="18"/>
              </w:rPr>
              <w:t xml:space="preserve">of </w:t>
            </w:r>
            <w:r w:rsidRPr="006856C5">
              <w:rPr>
                <w:spacing w:val="-1"/>
                <w:sz w:val="18"/>
                <w:szCs w:val="18"/>
              </w:rPr>
              <w:t>invited</w:t>
            </w:r>
            <w:r w:rsidRPr="006856C5">
              <w:rPr>
                <w:spacing w:val="-3"/>
                <w:sz w:val="18"/>
                <w:szCs w:val="18"/>
              </w:rPr>
              <w:t xml:space="preserve"> </w:t>
            </w:r>
            <w:r w:rsidRPr="006856C5">
              <w:rPr>
                <w:spacing w:val="-1"/>
                <w:sz w:val="18"/>
                <w:szCs w:val="18"/>
              </w:rPr>
              <w:t>contributors</w:t>
            </w:r>
            <w:r w:rsidRPr="006856C5">
              <w:rPr>
                <w:sz w:val="18"/>
                <w:szCs w:val="18"/>
              </w:rPr>
              <w:t xml:space="preserve"> </w:t>
            </w:r>
            <w:r w:rsidRPr="006856C5">
              <w:rPr>
                <w:spacing w:val="-1"/>
                <w:sz w:val="18"/>
                <w:szCs w:val="18"/>
              </w:rPr>
              <w:t>and not</w:t>
            </w:r>
            <w:r w:rsidRPr="006856C5">
              <w:rPr>
                <w:spacing w:val="55"/>
                <w:sz w:val="18"/>
                <w:szCs w:val="18"/>
              </w:rPr>
              <w:t xml:space="preserve"> </w:t>
            </w:r>
            <w:r w:rsidRPr="006856C5">
              <w:rPr>
                <w:spacing w:val="-1"/>
                <w:sz w:val="18"/>
                <w:szCs w:val="18"/>
              </w:rPr>
              <w:t>necessarily</w:t>
            </w:r>
            <w:r w:rsidRPr="006856C5">
              <w:rPr>
                <w:spacing w:val="1"/>
                <w:sz w:val="18"/>
                <w:szCs w:val="18"/>
              </w:rPr>
              <w:t xml:space="preserve"> </w:t>
            </w:r>
            <w:r w:rsidRPr="006856C5">
              <w:rPr>
                <w:spacing w:val="-1"/>
                <w:sz w:val="18"/>
                <w:szCs w:val="18"/>
              </w:rPr>
              <w:t>those</w:t>
            </w:r>
            <w:r w:rsidRPr="006856C5">
              <w:rPr>
                <w:spacing w:val="-2"/>
                <w:sz w:val="18"/>
                <w:szCs w:val="18"/>
              </w:rPr>
              <w:t xml:space="preserve"> </w:t>
            </w:r>
            <w:r w:rsidRPr="006856C5">
              <w:rPr>
                <w:sz w:val="18"/>
                <w:szCs w:val="18"/>
              </w:rPr>
              <w:t>of</w:t>
            </w:r>
            <w:r w:rsidRPr="006856C5">
              <w:rPr>
                <w:spacing w:val="-3"/>
                <w:sz w:val="18"/>
                <w:szCs w:val="18"/>
              </w:rPr>
              <w:t xml:space="preserve"> </w:t>
            </w:r>
            <w:r w:rsidRPr="006856C5">
              <w:rPr>
                <w:spacing w:val="-1"/>
                <w:sz w:val="18"/>
                <w:szCs w:val="18"/>
              </w:rPr>
              <w:t>the</w:t>
            </w:r>
            <w:r w:rsidRPr="006856C5">
              <w:rPr>
                <w:spacing w:val="1"/>
                <w:sz w:val="18"/>
                <w:szCs w:val="18"/>
              </w:rPr>
              <w:t xml:space="preserve"> </w:t>
            </w:r>
            <w:r w:rsidRPr="006856C5">
              <w:rPr>
                <w:spacing w:val="-1"/>
                <w:sz w:val="18"/>
                <w:szCs w:val="18"/>
              </w:rPr>
              <w:t>Institute</w:t>
            </w:r>
            <w:r w:rsidRPr="006856C5">
              <w:rPr>
                <w:spacing w:val="1"/>
                <w:sz w:val="18"/>
                <w:szCs w:val="18"/>
              </w:rPr>
              <w:t xml:space="preserve"> </w:t>
            </w:r>
            <w:r w:rsidRPr="006856C5">
              <w:rPr>
                <w:spacing w:val="-1"/>
                <w:sz w:val="18"/>
                <w:szCs w:val="18"/>
              </w:rPr>
              <w:t>and Faculty</w:t>
            </w:r>
            <w:r w:rsidRPr="006856C5">
              <w:rPr>
                <w:spacing w:val="-2"/>
                <w:sz w:val="18"/>
                <w:szCs w:val="18"/>
              </w:rPr>
              <w:t xml:space="preserve"> </w:t>
            </w:r>
            <w:r w:rsidRPr="006856C5">
              <w:rPr>
                <w:sz w:val="18"/>
                <w:szCs w:val="18"/>
              </w:rPr>
              <w:t xml:space="preserve">of </w:t>
            </w:r>
            <w:r w:rsidRPr="006856C5">
              <w:rPr>
                <w:spacing w:val="-1"/>
                <w:sz w:val="18"/>
                <w:szCs w:val="18"/>
              </w:rPr>
              <w:t>Actuaries.</w:t>
            </w:r>
            <w:r w:rsidRPr="006856C5">
              <w:rPr>
                <w:spacing w:val="49"/>
                <w:sz w:val="18"/>
                <w:szCs w:val="18"/>
              </w:rPr>
              <w:t xml:space="preserve"> </w:t>
            </w:r>
            <w:r w:rsidRPr="006856C5">
              <w:rPr>
                <w:spacing w:val="-1"/>
                <w:sz w:val="18"/>
                <w:szCs w:val="18"/>
              </w:rPr>
              <w:t>The</w:t>
            </w:r>
            <w:r w:rsidRPr="006856C5">
              <w:rPr>
                <w:spacing w:val="-2"/>
                <w:sz w:val="18"/>
                <w:szCs w:val="18"/>
              </w:rPr>
              <w:t xml:space="preserve"> </w:t>
            </w:r>
            <w:r w:rsidRPr="006856C5">
              <w:rPr>
                <w:spacing w:val="-1"/>
                <w:sz w:val="18"/>
                <w:szCs w:val="18"/>
              </w:rPr>
              <w:t>Institute</w:t>
            </w:r>
            <w:r w:rsidRPr="006856C5">
              <w:rPr>
                <w:spacing w:val="1"/>
                <w:sz w:val="18"/>
                <w:szCs w:val="18"/>
              </w:rPr>
              <w:t xml:space="preserve"> </w:t>
            </w:r>
            <w:r w:rsidRPr="006856C5">
              <w:rPr>
                <w:spacing w:val="-1"/>
                <w:sz w:val="18"/>
                <w:szCs w:val="18"/>
              </w:rPr>
              <w:t xml:space="preserve">and Faculty </w:t>
            </w:r>
            <w:r w:rsidRPr="006856C5">
              <w:rPr>
                <w:sz w:val="18"/>
                <w:szCs w:val="18"/>
              </w:rPr>
              <w:t xml:space="preserve">of </w:t>
            </w:r>
            <w:r w:rsidRPr="006856C5">
              <w:rPr>
                <w:spacing w:val="-1"/>
                <w:sz w:val="18"/>
                <w:szCs w:val="18"/>
              </w:rPr>
              <w:t>Actuaries</w:t>
            </w:r>
            <w:r w:rsidRPr="006856C5">
              <w:rPr>
                <w:sz w:val="18"/>
                <w:szCs w:val="18"/>
              </w:rPr>
              <w:t xml:space="preserve"> </w:t>
            </w:r>
            <w:r w:rsidRPr="006856C5">
              <w:rPr>
                <w:spacing w:val="-2"/>
                <w:sz w:val="18"/>
                <w:szCs w:val="18"/>
              </w:rPr>
              <w:t>do</w:t>
            </w:r>
            <w:r w:rsidRPr="006856C5">
              <w:rPr>
                <w:spacing w:val="39"/>
                <w:sz w:val="18"/>
                <w:szCs w:val="18"/>
              </w:rPr>
              <w:t xml:space="preserve"> </w:t>
            </w:r>
            <w:r w:rsidRPr="006856C5">
              <w:rPr>
                <w:sz w:val="18"/>
                <w:szCs w:val="18"/>
              </w:rPr>
              <w:t>not</w:t>
            </w:r>
            <w:r w:rsidRPr="006856C5">
              <w:rPr>
                <w:spacing w:val="1"/>
                <w:sz w:val="18"/>
                <w:szCs w:val="18"/>
              </w:rPr>
              <w:t xml:space="preserve"> </w:t>
            </w:r>
            <w:r w:rsidRPr="006856C5">
              <w:rPr>
                <w:spacing w:val="-1"/>
                <w:sz w:val="18"/>
                <w:szCs w:val="18"/>
              </w:rPr>
              <w:t>endorse</w:t>
            </w:r>
            <w:r w:rsidRPr="006856C5">
              <w:rPr>
                <w:spacing w:val="-2"/>
                <w:sz w:val="18"/>
                <w:szCs w:val="18"/>
              </w:rPr>
              <w:t xml:space="preserve"> </w:t>
            </w:r>
            <w:r w:rsidRPr="006856C5">
              <w:rPr>
                <w:spacing w:val="-1"/>
                <w:sz w:val="18"/>
                <w:szCs w:val="18"/>
              </w:rPr>
              <w:t>any</w:t>
            </w:r>
            <w:r w:rsidRPr="006856C5">
              <w:rPr>
                <w:spacing w:val="-2"/>
                <w:sz w:val="18"/>
                <w:szCs w:val="18"/>
              </w:rPr>
              <w:t xml:space="preserve"> </w:t>
            </w:r>
            <w:r w:rsidRPr="006856C5">
              <w:rPr>
                <w:sz w:val="18"/>
                <w:szCs w:val="18"/>
              </w:rPr>
              <w:t>of</w:t>
            </w:r>
            <w:r w:rsidRPr="006856C5">
              <w:rPr>
                <w:spacing w:val="-3"/>
                <w:sz w:val="18"/>
                <w:szCs w:val="18"/>
              </w:rPr>
              <w:t xml:space="preserve"> </w:t>
            </w:r>
            <w:r w:rsidRPr="006856C5">
              <w:rPr>
                <w:spacing w:val="-1"/>
                <w:sz w:val="18"/>
                <w:szCs w:val="18"/>
              </w:rPr>
              <w:t>the</w:t>
            </w:r>
            <w:r w:rsidRPr="006856C5">
              <w:rPr>
                <w:spacing w:val="-2"/>
                <w:sz w:val="18"/>
                <w:szCs w:val="18"/>
              </w:rPr>
              <w:t xml:space="preserve"> </w:t>
            </w:r>
            <w:r w:rsidRPr="006856C5">
              <w:rPr>
                <w:spacing w:val="-1"/>
                <w:sz w:val="18"/>
                <w:szCs w:val="18"/>
              </w:rPr>
              <w:t>views</w:t>
            </w:r>
            <w:r w:rsidRPr="006856C5">
              <w:rPr>
                <w:sz w:val="18"/>
                <w:szCs w:val="18"/>
              </w:rPr>
              <w:t xml:space="preserve"> </w:t>
            </w:r>
            <w:r w:rsidRPr="006856C5">
              <w:rPr>
                <w:spacing w:val="-1"/>
                <w:sz w:val="18"/>
                <w:szCs w:val="18"/>
              </w:rPr>
              <w:t>stated,</w:t>
            </w:r>
            <w:r w:rsidRPr="006856C5">
              <w:rPr>
                <w:sz w:val="18"/>
                <w:szCs w:val="18"/>
              </w:rPr>
              <w:t xml:space="preserve"> </w:t>
            </w:r>
            <w:r w:rsidRPr="006856C5">
              <w:rPr>
                <w:spacing w:val="-1"/>
                <w:sz w:val="18"/>
                <w:szCs w:val="18"/>
              </w:rPr>
              <w:t>nor</w:t>
            </w:r>
            <w:r w:rsidRPr="006856C5">
              <w:rPr>
                <w:sz w:val="18"/>
                <w:szCs w:val="18"/>
              </w:rPr>
              <w:t xml:space="preserve"> </w:t>
            </w:r>
            <w:r w:rsidRPr="006856C5">
              <w:rPr>
                <w:spacing w:val="-2"/>
                <w:sz w:val="18"/>
                <w:szCs w:val="18"/>
              </w:rPr>
              <w:t>any</w:t>
            </w:r>
            <w:r w:rsidRPr="006856C5">
              <w:rPr>
                <w:spacing w:val="1"/>
                <w:sz w:val="18"/>
                <w:szCs w:val="18"/>
              </w:rPr>
              <w:t xml:space="preserve"> </w:t>
            </w:r>
            <w:r w:rsidRPr="006856C5">
              <w:rPr>
                <w:spacing w:val="-1"/>
                <w:sz w:val="18"/>
                <w:szCs w:val="18"/>
              </w:rPr>
              <w:t>claims</w:t>
            </w:r>
            <w:r w:rsidRPr="006856C5">
              <w:rPr>
                <w:spacing w:val="-2"/>
                <w:sz w:val="18"/>
                <w:szCs w:val="18"/>
              </w:rPr>
              <w:t xml:space="preserve"> </w:t>
            </w:r>
            <w:r w:rsidRPr="006856C5">
              <w:rPr>
                <w:spacing w:val="-1"/>
                <w:sz w:val="18"/>
                <w:szCs w:val="18"/>
              </w:rPr>
              <w:t>or</w:t>
            </w:r>
            <w:r w:rsidRPr="006856C5">
              <w:rPr>
                <w:spacing w:val="1"/>
                <w:sz w:val="18"/>
                <w:szCs w:val="18"/>
              </w:rPr>
              <w:t xml:space="preserve"> </w:t>
            </w:r>
            <w:r w:rsidRPr="006856C5">
              <w:rPr>
                <w:spacing w:val="-1"/>
                <w:sz w:val="18"/>
                <w:szCs w:val="18"/>
              </w:rPr>
              <w:t>representations</w:t>
            </w:r>
            <w:r w:rsidRPr="006856C5">
              <w:rPr>
                <w:spacing w:val="-2"/>
                <w:sz w:val="18"/>
                <w:szCs w:val="18"/>
              </w:rPr>
              <w:t xml:space="preserve"> </w:t>
            </w:r>
            <w:r w:rsidRPr="006856C5">
              <w:rPr>
                <w:spacing w:val="-1"/>
                <w:sz w:val="18"/>
                <w:szCs w:val="18"/>
              </w:rPr>
              <w:t>made</w:t>
            </w:r>
            <w:r w:rsidRPr="006856C5">
              <w:rPr>
                <w:spacing w:val="1"/>
                <w:sz w:val="18"/>
                <w:szCs w:val="18"/>
              </w:rPr>
              <w:t xml:space="preserve"> </w:t>
            </w:r>
            <w:r w:rsidRPr="006856C5">
              <w:rPr>
                <w:spacing w:val="-1"/>
                <w:sz w:val="18"/>
                <w:szCs w:val="18"/>
              </w:rPr>
              <w:t>in</w:t>
            </w:r>
            <w:r w:rsidRPr="006856C5">
              <w:rPr>
                <w:spacing w:val="-3"/>
                <w:sz w:val="18"/>
                <w:szCs w:val="18"/>
              </w:rPr>
              <w:t xml:space="preserve"> </w:t>
            </w:r>
            <w:r w:rsidRPr="006856C5">
              <w:rPr>
                <w:spacing w:val="-1"/>
                <w:sz w:val="18"/>
                <w:szCs w:val="18"/>
              </w:rPr>
              <w:t>this</w:t>
            </w:r>
            <w:r w:rsidRPr="006856C5">
              <w:rPr>
                <w:sz w:val="18"/>
                <w:szCs w:val="18"/>
              </w:rPr>
              <w:t xml:space="preserve"> </w:t>
            </w:r>
            <w:r w:rsidRPr="006856C5">
              <w:rPr>
                <w:spacing w:val="-1"/>
                <w:sz w:val="18"/>
                <w:szCs w:val="18"/>
              </w:rPr>
              <w:t>publication and</w:t>
            </w:r>
            <w:r w:rsidRPr="006856C5">
              <w:rPr>
                <w:spacing w:val="53"/>
                <w:sz w:val="18"/>
                <w:szCs w:val="18"/>
              </w:rPr>
              <w:t xml:space="preserve"> </w:t>
            </w:r>
            <w:r w:rsidRPr="006856C5">
              <w:rPr>
                <w:spacing w:val="-1"/>
                <w:sz w:val="18"/>
                <w:szCs w:val="18"/>
              </w:rPr>
              <w:t>accept</w:t>
            </w:r>
            <w:r w:rsidRPr="006856C5">
              <w:rPr>
                <w:spacing w:val="1"/>
                <w:sz w:val="18"/>
                <w:szCs w:val="18"/>
              </w:rPr>
              <w:t xml:space="preserve"> </w:t>
            </w:r>
            <w:r w:rsidRPr="006856C5">
              <w:rPr>
                <w:spacing w:val="-2"/>
                <w:sz w:val="18"/>
                <w:szCs w:val="18"/>
              </w:rPr>
              <w:t>no</w:t>
            </w:r>
            <w:r w:rsidRPr="006856C5">
              <w:rPr>
                <w:spacing w:val="1"/>
                <w:sz w:val="18"/>
                <w:szCs w:val="18"/>
              </w:rPr>
              <w:t xml:space="preserve"> </w:t>
            </w:r>
            <w:r w:rsidRPr="006856C5">
              <w:rPr>
                <w:spacing w:val="-1"/>
                <w:sz w:val="18"/>
                <w:szCs w:val="18"/>
              </w:rPr>
              <w:t>responsibility</w:t>
            </w:r>
            <w:r w:rsidRPr="006856C5">
              <w:rPr>
                <w:spacing w:val="-2"/>
                <w:sz w:val="18"/>
                <w:szCs w:val="18"/>
              </w:rPr>
              <w:t xml:space="preserve"> </w:t>
            </w:r>
            <w:r w:rsidRPr="006856C5">
              <w:rPr>
                <w:sz w:val="18"/>
                <w:szCs w:val="18"/>
              </w:rPr>
              <w:t>or</w:t>
            </w:r>
            <w:r w:rsidRPr="006856C5">
              <w:rPr>
                <w:spacing w:val="-2"/>
                <w:sz w:val="18"/>
                <w:szCs w:val="18"/>
              </w:rPr>
              <w:t xml:space="preserve"> </w:t>
            </w:r>
            <w:r w:rsidRPr="006856C5">
              <w:rPr>
                <w:spacing w:val="-1"/>
                <w:sz w:val="18"/>
                <w:szCs w:val="18"/>
              </w:rPr>
              <w:t>liability</w:t>
            </w:r>
            <w:r w:rsidRPr="006856C5">
              <w:rPr>
                <w:spacing w:val="1"/>
                <w:sz w:val="18"/>
                <w:szCs w:val="18"/>
              </w:rPr>
              <w:t xml:space="preserve"> </w:t>
            </w:r>
            <w:r w:rsidRPr="006856C5">
              <w:rPr>
                <w:spacing w:val="-1"/>
                <w:sz w:val="18"/>
                <w:szCs w:val="18"/>
              </w:rPr>
              <w:t>to</w:t>
            </w:r>
            <w:r w:rsidRPr="006856C5">
              <w:rPr>
                <w:spacing w:val="1"/>
                <w:sz w:val="18"/>
                <w:szCs w:val="18"/>
              </w:rPr>
              <w:t xml:space="preserve"> </w:t>
            </w:r>
            <w:r w:rsidRPr="006856C5">
              <w:rPr>
                <w:spacing w:val="-1"/>
                <w:sz w:val="18"/>
                <w:szCs w:val="18"/>
              </w:rPr>
              <w:t>any person for</w:t>
            </w:r>
            <w:r w:rsidRPr="006856C5">
              <w:rPr>
                <w:sz w:val="18"/>
                <w:szCs w:val="18"/>
              </w:rPr>
              <w:t xml:space="preserve"> </w:t>
            </w:r>
            <w:r w:rsidRPr="006856C5">
              <w:rPr>
                <w:spacing w:val="-2"/>
                <w:sz w:val="18"/>
                <w:szCs w:val="18"/>
              </w:rPr>
              <w:t>loss</w:t>
            </w:r>
            <w:r w:rsidRPr="006856C5">
              <w:rPr>
                <w:sz w:val="18"/>
                <w:szCs w:val="18"/>
              </w:rPr>
              <w:t xml:space="preserve"> or</w:t>
            </w:r>
            <w:r w:rsidRPr="006856C5">
              <w:rPr>
                <w:spacing w:val="-2"/>
                <w:sz w:val="18"/>
                <w:szCs w:val="18"/>
              </w:rPr>
              <w:t xml:space="preserve"> </w:t>
            </w:r>
            <w:r w:rsidRPr="006856C5">
              <w:rPr>
                <w:spacing w:val="-1"/>
                <w:sz w:val="18"/>
                <w:szCs w:val="18"/>
              </w:rPr>
              <w:t>damage</w:t>
            </w:r>
            <w:r w:rsidRPr="006856C5">
              <w:rPr>
                <w:spacing w:val="1"/>
                <w:sz w:val="18"/>
                <w:szCs w:val="18"/>
              </w:rPr>
              <w:t xml:space="preserve"> </w:t>
            </w:r>
            <w:r w:rsidRPr="006856C5">
              <w:rPr>
                <w:spacing w:val="-1"/>
                <w:sz w:val="18"/>
                <w:szCs w:val="18"/>
              </w:rPr>
              <w:t>suffered as</w:t>
            </w:r>
            <w:r w:rsidRPr="006856C5">
              <w:rPr>
                <w:sz w:val="18"/>
                <w:szCs w:val="18"/>
              </w:rPr>
              <w:t xml:space="preserve"> a</w:t>
            </w:r>
            <w:r w:rsidRPr="006856C5">
              <w:rPr>
                <w:spacing w:val="-5"/>
                <w:sz w:val="18"/>
                <w:szCs w:val="18"/>
              </w:rPr>
              <w:t xml:space="preserve"> </w:t>
            </w:r>
            <w:r w:rsidRPr="006856C5">
              <w:rPr>
                <w:spacing w:val="-1"/>
                <w:sz w:val="18"/>
                <w:szCs w:val="18"/>
              </w:rPr>
              <w:t>consequence</w:t>
            </w:r>
            <w:r w:rsidRPr="006856C5">
              <w:rPr>
                <w:spacing w:val="-2"/>
                <w:sz w:val="18"/>
                <w:szCs w:val="18"/>
              </w:rPr>
              <w:t xml:space="preserve"> </w:t>
            </w:r>
            <w:r w:rsidRPr="006856C5">
              <w:rPr>
                <w:sz w:val="18"/>
                <w:szCs w:val="18"/>
              </w:rPr>
              <w:t>of</w:t>
            </w:r>
            <w:r w:rsidRPr="006856C5">
              <w:rPr>
                <w:spacing w:val="45"/>
                <w:sz w:val="18"/>
                <w:szCs w:val="18"/>
              </w:rPr>
              <w:t xml:space="preserve"> </w:t>
            </w:r>
            <w:r w:rsidRPr="006856C5">
              <w:rPr>
                <w:spacing w:val="-1"/>
                <w:sz w:val="18"/>
                <w:szCs w:val="18"/>
              </w:rPr>
              <w:t>their</w:t>
            </w:r>
            <w:r w:rsidRPr="006856C5">
              <w:rPr>
                <w:sz w:val="18"/>
                <w:szCs w:val="18"/>
              </w:rPr>
              <w:t xml:space="preserve"> </w:t>
            </w:r>
            <w:r w:rsidRPr="006856C5">
              <w:rPr>
                <w:spacing w:val="-1"/>
                <w:sz w:val="18"/>
                <w:szCs w:val="18"/>
              </w:rPr>
              <w:t>placing reliance</w:t>
            </w:r>
            <w:r w:rsidRPr="006856C5">
              <w:rPr>
                <w:spacing w:val="1"/>
                <w:sz w:val="18"/>
                <w:szCs w:val="18"/>
              </w:rPr>
              <w:t xml:space="preserve"> </w:t>
            </w:r>
            <w:r w:rsidRPr="006856C5">
              <w:rPr>
                <w:spacing w:val="-1"/>
                <w:sz w:val="18"/>
                <w:szCs w:val="18"/>
              </w:rPr>
              <w:t>upon</w:t>
            </w:r>
            <w:r w:rsidRPr="006856C5">
              <w:rPr>
                <w:spacing w:val="-3"/>
                <w:sz w:val="18"/>
                <w:szCs w:val="18"/>
              </w:rPr>
              <w:t xml:space="preserve"> </w:t>
            </w:r>
            <w:r w:rsidRPr="006856C5">
              <w:rPr>
                <w:spacing w:val="-1"/>
                <w:sz w:val="18"/>
                <w:szCs w:val="18"/>
              </w:rPr>
              <w:t>any</w:t>
            </w:r>
            <w:r w:rsidRPr="006856C5">
              <w:rPr>
                <w:spacing w:val="1"/>
                <w:sz w:val="18"/>
                <w:szCs w:val="18"/>
              </w:rPr>
              <w:t xml:space="preserve"> </w:t>
            </w:r>
            <w:r w:rsidRPr="006856C5">
              <w:rPr>
                <w:spacing w:val="-1"/>
                <w:sz w:val="18"/>
                <w:szCs w:val="18"/>
              </w:rPr>
              <w:t>view,</w:t>
            </w:r>
            <w:r w:rsidRPr="006856C5">
              <w:rPr>
                <w:spacing w:val="-2"/>
                <w:sz w:val="18"/>
                <w:szCs w:val="18"/>
              </w:rPr>
              <w:t xml:space="preserve"> </w:t>
            </w:r>
            <w:r w:rsidRPr="006856C5">
              <w:rPr>
                <w:spacing w:val="-1"/>
                <w:sz w:val="18"/>
                <w:szCs w:val="18"/>
              </w:rPr>
              <w:t>claim</w:t>
            </w:r>
            <w:r w:rsidRPr="006856C5">
              <w:rPr>
                <w:spacing w:val="1"/>
                <w:sz w:val="18"/>
                <w:szCs w:val="18"/>
              </w:rPr>
              <w:t xml:space="preserve"> </w:t>
            </w:r>
            <w:r w:rsidRPr="006856C5">
              <w:rPr>
                <w:spacing w:val="-1"/>
                <w:sz w:val="18"/>
                <w:szCs w:val="18"/>
              </w:rPr>
              <w:t>or</w:t>
            </w:r>
            <w:r w:rsidRPr="006856C5">
              <w:rPr>
                <w:sz w:val="18"/>
                <w:szCs w:val="18"/>
              </w:rPr>
              <w:t xml:space="preserve"> </w:t>
            </w:r>
            <w:r w:rsidRPr="006856C5">
              <w:rPr>
                <w:spacing w:val="-1"/>
                <w:sz w:val="18"/>
                <w:szCs w:val="18"/>
              </w:rPr>
              <w:t>representation</w:t>
            </w:r>
            <w:r w:rsidRPr="006856C5">
              <w:rPr>
                <w:spacing w:val="-3"/>
                <w:sz w:val="18"/>
                <w:szCs w:val="18"/>
              </w:rPr>
              <w:t xml:space="preserve"> </w:t>
            </w:r>
            <w:r w:rsidRPr="006856C5">
              <w:rPr>
                <w:spacing w:val="-1"/>
                <w:sz w:val="18"/>
                <w:szCs w:val="18"/>
              </w:rPr>
              <w:t>made</w:t>
            </w:r>
            <w:r w:rsidRPr="006856C5">
              <w:rPr>
                <w:spacing w:val="-2"/>
                <w:sz w:val="18"/>
                <w:szCs w:val="18"/>
              </w:rPr>
              <w:t xml:space="preserve"> </w:t>
            </w:r>
            <w:r w:rsidRPr="006856C5">
              <w:rPr>
                <w:spacing w:val="-1"/>
                <w:sz w:val="18"/>
                <w:szCs w:val="18"/>
              </w:rPr>
              <w:t>in this</w:t>
            </w:r>
            <w:r w:rsidRPr="006856C5">
              <w:rPr>
                <w:sz w:val="18"/>
                <w:szCs w:val="18"/>
              </w:rPr>
              <w:t xml:space="preserve"> </w:t>
            </w:r>
            <w:r w:rsidRPr="006856C5">
              <w:rPr>
                <w:spacing w:val="-1"/>
                <w:sz w:val="18"/>
                <w:szCs w:val="18"/>
              </w:rPr>
              <w:t>publication.</w:t>
            </w:r>
            <w:r w:rsidRPr="006856C5">
              <w:rPr>
                <w:spacing w:val="47"/>
                <w:sz w:val="18"/>
                <w:szCs w:val="18"/>
              </w:rPr>
              <w:t xml:space="preserve"> </w:t>
            </w:r>
            <w:r w:rsidRPr="006856C5">
              <w:rPr>
                <w:spacing w:val="-1"/>
                <w:sz w:val="18"/>
                <w:szCs w:val="18"/>
              </w:rPr>
              <w:t>The</w:t>
            </w:r>
            <w:r w:rsidRPr="006856C5">
              <w:rPr>
                <w:spacing w:val="51"/>
                <w:sz w:val="18"/>
                <w:szCs w:val="18"/>
              </w:rPr>
              <w:t xml:space="preserve"> </w:t>
            </w:r>
            <w:r w:rsidRPr="006856C5">
              <w:rPr>
                <w:spacing w:val="-1"/>
                <w:sz w:val="18"/>
                <w:szCs w:val="18"/>
              </w:rPr>
              <w:t>information and</w:t>
            </w:r>
            <w:r w:rsidRPr="006856C5">
              <w:rPr>
                <w:spacing w:val="-3"/>
                <w:sz w:val="18"/>
                <w:szCs w:val="18"/>
              </w:rPr>
              <w:t xml:space="preserve"> </w:t>
            </w:r>
            <w:r w:rsidRPr="006856C5">
              <w:rPr>
                <w:spacing w:val="-1"/>
                <w:sz w:val="18"/>
                <w:szCs w:val="18"/>
              </w:rPr>
              <w:t>expressions</w:t>
            </w:r>
            <w:r w:rsidRPr="006856C5">
              <w:rPr>
                <w:sz w:val="18"/>
                <w:szCs w:val="18"/>
              </w:rPr>
              <w:t xml:space="preserve"> of</w:t>
            </w:r>
            <w:r w:rsidRPr="006856C5">
              <w:rPr>
                <w:spacing w:val="-3"/>
                <w:sz w:val="18"/>
                <w:szCs w:val="18"/>
              </w:rPr>
              <w:t xml:space="preserve"> </w:t>
            </w:r>
            <w:r w:rsidRPr="006856C5">
              <w:rPr>
                <w:spacing w:val="-1"/>
                <w:sz w:val="18"/>
                <w:szCs w:val="18"/>
              </w:rPr>
              <w:t>opinion contained in this</w:t>
            </w:r>
            <w:r w:rsidRPr="006856C5">
              <w:rPr>
                <w:sz w:val="18"/>
                <w:szCs w:val="18"/>
              </w:rPr>
              <w:t xml:space="preserve"> </w:t>
            </w:r>
            <w:r w:rsidRPr="006856C5">
              <w:rPr>
                <w:spacing w:val="-1"/>
                <w:sz w:val="18"/>
                <w:szCs w:val="18"/>
              </w:rPr>
              <w:t xml:space="preserve">publication </w:t>
            </w:r>
            <w:r w:rsidRPr="006856C5">
              <w:rPr>
                <w:spacing w:val="-2"/>
                <w:sz w:val="18"/>
                <w:szCs w:val="18"/>
              </w:rPr>
              <w:t>are</w:t>
            </w:r>
            <w:r w:rsidRPr="006856C5">
              <w:rPr>
                <w:spacing w:val="1"/>
                <w:sz w:val="18"/>
                <w:szCs w:val="18"/>
              </w:rPr>
              <w:t xml:space="preserve"> </w:t>
            </w:r>
            <w:r w:rsidRPr="006856C5">
              <w:rPr>
                <w:spacing w:val="-1"/>
                <w:sz w:val="18"/>
                <w:szCs w:val="18"/>
              </w:rPr>
              <w:t>not</w:t>
            </w:r>
            <w:r w:rsidRPr="006856C5">
              <w:rPr>
                <w:spacing w:val="1"/>
                <w:sz w:val="18"/>
                <w:szCs w:val="18"/>
              </w:rPr>
              <w:t xml:space="preserve"> </w:t>
            </w:r>
            <w:r w:rsidRPr="006856C5">
              <w:rPr>
                <w:spacing w:val="-1"/>
                <w:sz w:val="18"/>
                <w:szCs w:val="18"/>
              </w:rPr>
              <w:t xml:space="preserve">intended </w:t>
            </w:r>
            <w:r w:rsidRPr="006856C5">
              <w:rPr>
                <w:sz w:val="18"/>
                <w:szCs w:val="18"/>
              </w:rPr>
              <w:t>to</w:t>
            </w:r>
            <w:r w:rsidRPr="006856C5">
              <w:rPr>
                <w:spacing w:val="1"/>
                <w:sz w:val="18"/>
                <w:szCs w:val="18"/>
              </w:rPr>
              <w:t xml:space="preserve"> </w:t>
            </w:r>
            <w:r w:rsidRPr="006856C5">
              <w:rPr>
                <w:spacing w:val="-2"/>
                <w:sz w:val="18"/>
                <w:szCs w:val="18"/>
              </w:rPr>
              <w:t>be</w:t>
            </w:r>
            <w:r w:rsidRPr="006856C5">
              <w:rPr>
                <w:spacing w:val="1"/>
                <w:sz w:val="18"/>
                <w:szCs w:val="18"/>
              </w:rPr>
              <w:t xml:space="preserve"> </w:t>
            </w:r>
            <w:r w:rsidRPr="006856C5">
              <w:rPr>
                <w:sz w:val="18"/>
                <w:szCs w:val="18"/>
              </w:rPr>
              <w:t>a</w:t>
            </w:r>
            <w:r w:rsidRPr="006856C5">
              <w:rPr>
                <w:spacing w:val="49"/>
                <w:sz w:val="18"/>
                <w:szCs w:val="18"/>
              </w:rPr>
              <w:t xml:space="preserve"> </w:t>
            </w:r>
            <w:r w:rsidRPr="006856C5">
              <w:rPr>
                <w:spacing w:val="-1"/>
                <w:sz w:val="18"/>
                <w:szCs w:val="18"/>
              </w:rPr>
              <w:t>comprehensive</w:t>
            </w:r>
            <w:r w:rsidRPr="006856C5">
              <w:rPr>
                <w:spacing w:val="1"/>
                <w:sz w:val="18"/>
                <w:szCs w:val="18"/>
              </w:rPr>
              <w:t xml:space="preserve"> </w:t>
            </w:r>
            <w:r w:rsidRPr="006856C5">
              <w:rPr>
                <w:spacing w:val="-1"/>
                <w:sz w:val="18"/>
                <w:szCs w:val="18"/>
              </w:rPr>
              <w:t>study,</w:t>
            </w:r>
            <w:r w:rsidRPr="006856C5">
              <w:rPr>
                <w:sz w:val="18"/>
                <w:szCs w:val="18"/>
              </w:rPr>
              <w:t xml:space="preserve"> </w:t>
            </w:r>
            <w:r w:rsidRPr="006856C5">
              <w:rPr>
                <w:spacing w:val="-1"/>
                <w:sz w:val="18"/>
                <w:szCs w:val="18"/>
              </w:rPr>
              <w:t>nor</w:t>
            </w:r>
            <w:r w:rsidRPr="006856C5">
              <w:rPr>
                <w:sz w:val="18"/>
                <w:szCs w:val="18"/>
              </w:rPr>
              <w:t xml:space="preserve"> </w:t>
            </w:r>
            <w:r w:rsidRPr="006856C5">
              <w:rPr>
                <w:spacing w:val="-1"/>
                <w:sz w:val="18"/>
                <w:szCs w:val="18"/>
              </w:rPr>
              <w:t>to</w:t>
            </w:r>
            <w:r w:rsidRPr="006856C5">
              <w:rPr>
                <w:spacing w:val="1"/>
                <w:sz w:val="18"/>
                <w:szCs w:val="18"/>
              </w:rPr>
              <w:t xml:space="preserve"> </w:t>
            </w:r>
            <w:r w:rsidRPr="006856C5">
              <w:rPr>
                <w:spacing w:val="-1"/>
                <w:sz w:val="18"/>
                <w:szCs w:val="18"/>
              </w:rPr>
              <w:t>provide</w:t>
            </w:r>
            <w:r w:rsidRPr="006856C5">
              <w:rPr>
                <w:spacing w:val="-2"/>
                <w:sz w:val="18"/>
                <w:szCs w:val="18"/>
              </w:rPr>
              <w:t xml:space="preserve"> </w:t>
            </w:r>
            <w:r w:rsidRPr="006856C5">
              <w:rPr>
                <w:spacing w:val="-1"/>
                <w:sz w:val="18"/>
                <w:szCs w:val="18"/>
              </w:rPr>
              <w:t>actuarial</w:t>
            </w:r>
            <w:r w:rsidRPr="006856C5">
              <w:rPr>
                <w:sz w:val="18"/>
                <w:szCs w:val="18"/>
              </w:rPr>
              <w:t xml:space="preserve"> </w:t>
            </w:r>
            <w:r w:rsidRPr="006856C5">
              <w:rPr>
                <w:spacing w:val="-1"/>
                <w:sz w:val="18"/>
                <w:szCs w:val="18"/>
              </w:rPr>
              <w:t>advice</w:t>
            </w:r>
            <w:r w:rsidRPr="006856C5">
              <w:rPr>
                <w:spacing w:val="-4"/>
                <w:sz w:val="18"/>
                <w:szCs w:val="18"/>
              </w:rPr>
              <w:t xml:space="preserve"> </w:t>
            </w:r>
            <w:r w:rsidRPr="006856C5">
              <w:rPr>
                <w:sz w:val="18"/>
                <w:szCs w:val="18"/>
              </w:rPr>
              <w:t xml:space="preserve">or </w:t>
            </w:r>
            <w:r w:rsidRPr="006856C5">
              <w:rPr>
                <w:spacing w:val="-1"/>
                <w:sz w:val="18"/>
                <w:szCs w:val="18"/>
              </w:rPr>
              <w:t>advice</w:t>
            </w:r>
            <w:r w:rsidRPr="006856C5">
              <w:rPr>
                <w:spacing w:val="-2"/>
                <w:sz w:val="18"/>
                <w:szCs w:val="18"/>
              </w:rPr>
              <w:t xml:space="preserve"> </w:t>
            </w:r>
            <w:r w:rsidRPr="006856C5">
              <w:rPr>
                <w:sz w:val="18"/>
                <w:szCs w:val="18"/>
              </w:rPr>
              <w:t xml:space="preserve">of </w:t>
            </w:r>
            <w:r w:rsidRPr="006856C5">
              <w:rPr>
                <w:spacing w:val="-2"/>
                <w:sz w:val="18"/>
                <w:szCs w:val="18"/>
              </w:rPr>
              <w:t>any</w:t>
            </w:r>
            <w:r w:rsidRPr="006856C5">
              <w:rPr>
                <w:spacing w:val="1"/>
                <w:sz w:val="18"/>
                <w:szCs w:val="18"/>
              </w:rPr>
              <w:t xml:space="preserve"> </w:t>
            </w:r>
            <w:r w:rsidRPr="006856C5">
              <w:rPr>
                <w:spacing w:val="-1"/>
                <w:sz w:val="18"/>
                <w:szCs w:val="18"/>
              </w:rPr>
              <w:t>nature</w:t>
            </w:r>
            <w:r w:rsidRPr="006856C5">
              <w:rPr>
                <w:spacing w:val="-2"/>
                <w:sz w:val="18"/>
                <w:szCs w:val="18"/>
              </w:rPr>
              <w:t xml:space="preserve"> </w:t>
            </w:r>
            <w:r w:rsidRPr="006856C5">
              <w:rPr>
                <w:spacing w:val="-1"/>
                <w:sz w:val="18"/>
                <w:szCs w:val="18"/>
              </w:rPr>
              <w:t>and</w:t>
            </w:r>
            <w:r w:rsidRPr="006856C5">
              <w:rPr>
                <w:spacing w:val="-3"/>
                <w:sz w:val="18"/>
                <w:szCs w:val="18"/>
              </w:rPr>
              <w:t xml:space="preserve"> </w:t>
            </w:r>
            <w:r w:rsidRPr="006856C5">
              <w:rPr>
                <w:spacing w:val="-1"/>
                <w:sz w:val="18"/>
                <w:szCs w:val="18"/>
              </w:rPr>
              <w:t>should not</w:t>
            </w:r>
            <w:r w:rsidRPr="006856C5">
              <w:rPr>
                <w:spacing w:val="1"/>
                <w:sz w:val="18"/>
                <w:szCs w:val="18"/>
              </w:rPr>
              <w:t xml:space="preserve"> </w:t>
            </w:r>
            <w:r w:rsidRPr="006856C5">
              <w:rPr>
                <w:spacing w:val="-1"/>
                <w:sz w:val="18"/>
                <w:szCs w:val="18"/>
              </w:rPr>
              <w:t>be</w:t>
            </w:r>
            <w:r w:rsidRPr="006856C5">
              <w:rPr>
                <w:spacing w:val="43"/>
                <w:sz w:val="18"/>
                <w:szCs w:val="18"/>
              </w:rPr>
              <w:t xml:space="preserve"> </w:t>
            </w:r>
            <w:r w:rsidRPr="006856C5">
              <w:rPr>
                <w:spacing w:val="-1"/>
                <w:sz w:val="18"/>
                <w:szCs w:val="18"/>
              </w:rPr>
              <w:t>treated</w:t>
            </w:r>
            <w:r w:rsidRPr="006856C5">
              <w:rPr>
                <w:spacing w:val="-3"/>
                <w:sz w:val="18"/>
                <w:szCs w:val="18"/>
              </w:rPr>
              <w:t xml:space="preserve"> </w:t>
            </w:r>
            <w:r w:rsidRPr="006856C5">
              <w:rPr>
                <w:spacing w:val="-1"/>
                <w:sz w:val="18"/>
                <w:szCs w:val="18"/>
              </w:rPr>
              <w:t>as</w:t>
            </w:r>
            <w:r w:rsidRPr="006856C5">
              <w:rPr>
                <w:sz w:val="18"/>
                <w:szCs w:val="18"/>
              </w:rPr>
              <w:t xml:space="preserve"> a</w:t>
            </w:r>
            <w:r w:rsidRPr="006856C5">
              <w:rPr>
                <w:spacing w:val="-3"/>
                <w:sz w:val="18"/>
                <w:szCs w:val="18"/>
              </w:rPr>
              <w:t xml:space="preserve"> </w:t>
            </w:r>
            <w:r w:rsidRPr="006856C5">
              <w:rPr>
                <w:spacing w:val="-1"/>
                <w:sz w:val="18"/>
                <w:szCs w:val="18"/>
              </w:rPr>
              <w:t>substitute</w:t>
            </w:r>
            <w:r w:rsidRPr="006856C5">
              <w:rPr>
                <w:spacing w:val="-2"/>
                <w:sz w:val="18"/>
                <w:szCs w:val="18"/>
              </w:rPr>
              <w:t xml:space="preserve"> </w:t>
            </w:r>
            <w:r w:rsidRPr="006856C5">
              <w:rPr>
                <w:sz w:val="18"/>
                <w:szCs w:val="18"/>
              </w:rPr>
              <w:t>for</w:t>
            </w:r>
            <w:r w:rsidRPr="006856C5">
              <w:rPr>
                <w:spacing w:val="-2"/>
                <w:sz w:val="18"/>
                <w:szCs w:val="18"/>
              </w:rPr>
              <w:t xml:space="preserve"> </w:t>
            </w:r>
            <w:r w:rsidRPr="006856C5">
              <w:rPr>
                <w:spacing w:val="-1"/>
                <w:sz w:val="18"/>
                <w:szCs w:val="18"/>
              </w:rPr>
              <w:t>specific</w:t>
            </w:r>
            <w:r w:rsidRPr="006856C5">
              <w:rPr>
                <w:sz w:val="18"/>
                <w:szCs w:val="18"/>
              </w:rPr>
              <w:t xml:space="preserve"> </w:t>
            </w:r>
            <w:r w:rsidRPr="006856C5">
              <w:rPr>
                <w:spacing w:val="-1"/>
                <w:sz w:val="18"/>
                <w:szCs w:val="18"/>
              </w:rPr>
              <w:t>advice</w:t>
            </w:r>
            <w:r w:rsidRPr="006856C5">
              <w:rPr>
                <w:spacing w:val="-2"/>
                <w:sz w:val="18"/>
                <w:szCs w:val="18"/>
              </w:rPr>
              <w:t xml:space="preserve"> </w:t>
            </w:r>
            <w:r w:rsidRPr="006856C5">
              <w:rPr>
                <w:spacing w:val="-1"/>
                <w:sz w:val="18"/>
                <w:szCs w:val="18"/>
              </w:rPr>
              <w:t>concerning individual</w:t>
            </w:r>
            <w:r w:rsidRPr="006856C5">
              <w:rPr>
                <w:sz w:val="18"/>
                <w:szCs w:val="18"/>
              </w:rPr>
              <w:t xml:space="preserve"> </w:t>
            </w:r>
            <w:r w:rsidRPr="006856C5">
              <w:rPr>
                <w:spacing w:val="-1"/>
                <w:sz w:val="18"/>
                <w:szCs w:val="18"/>
              </w:rPr>
              <w:t>situations.</w:t>
            </w:r>
            <w:r w:rsidRPr="006856C5">
              <w:rPr>
                <w:spacing w:val="47"/>
                <w:sz w:val="18"/>
                <w:szCs w:val="18"/>
              </w:rPr>
              <w:t xml:space="preserve"> </w:t>
            </w:r>
            <w:r w:rsidRPr="006856C5">
              <w:rPr>
                <w:sz w:val="18"/>
                <w:szCs w:val="18"/>
              </w:rPr>
              <w:t>On</w:t>
            </w:r>
            <w:r w:rsidRPr="006856C5">
              <w:rPr>
                <w:spacing w:val="-1"/>
                <w:sz w:val="18"/>
                <w:szCs w:val="18"/>
              </w:rPr>
              <w:t xml:space="preserve"> </w:t>
            </w:r>
            <w:r w:rsidRPr="006856C5">
              <w:rPr>
                <w:spacing w:val="-2"/>
                <w:sz w:val="18"/>
                <w:szCs w:val="18"/>
              </w:rPr>
              <w:t>no</w:t>
            </w:r>
            <w:r w:rsidRPr="006856C5">
              <w:rPr>
                <w:sz w:val="18"/>
                <w:szCs w:val="18"/>
              </w:rPr>
              <w:t xml:space="preserve"> </w:t>
            </w:r>
            <w:r w:rsidRPr="006856C5">
              <w:rPr>
                <w:spacing w:val="-1"/>
                <w:sz w:val="18"/>
                <w:szCs w:val="18"/>
              </w:rPr>
              <w:t>account</w:t>
            </w:r>
            <w:r w:rsidRPr="006856C5">
              <w:rPr>
                <w:spacing w:val="-2"/>
                <w:sz w:val="18"/>
                <w:szCs w:val="18"/>
              </w:rPr>
              <w:t xml:space="preserve"> </w:t>
            </w:r>
            <w:r w:rsidRPr="006856C5">
              <w:rPr>
                <w:spacing w:val="-1"/>
                <w:sz w:val="18"/>
                <w:szCs w:val="18"/>
              </w:rPr>
              <w:t>may</w:t>
            </w:r>
            <w:r w:rsidRPr="006856C5">
              <w:rPr>
                <w:spacing w:val="1"/>
                <w:sz w:val="18"/>
                <w:szCs w:val="18"/>
              </w:rPr>
              <w:t xml:space="preserve"> </w:t>
            </w:r>
            <w:r w:rsidRPr="006856C5">
              <w:rPr>
                <w:spacing w:val="-2"/>
                <w:sz w:val="18"/>
                <w:szCs w:val="18"/>
              </w:rPr>
              <w:t>any</w:t>
            </w:r>
            <w:r w:rsidRPr="006856C5">
              <w:rPr>
                <w:spacing w:val="57"/>
                <w:sz w:val="18"/>
                <w:szCs w:val="18"/>
              </w:rPr>
              <w:t xml:space="preserve"> </w:t>
            </w:r>
            <w:r w:rsidRPr="006856C5">
              <w:rPr>
                <w:spacing w:val="-1"/>
                <w:sz w:val="18"/>
                <w:szCs w:val="18"/>
              </w:rPr>
              <w:t>part</w:t>
            </w:r>
            <w:r w:rsidRPr="006856C5">
              <w:rPr>
                <w:spacing w:val="1"/>
                <w:sz w:val="18"/>
                <w:szCs w:val="18"/>
              </w:rPr>
              <w:t xml:space="preserve"> </w:t>
            </w:r>
            <w:r w:rsidRPr="006856C5">
              <w:rPr>
                <w:sz w:val="18"/>
                <w:szCs w:val="18"/>
              </w:rPr>
              <w:t>of</w:t>
            </w:r>
            <w:r w:rsidRPr="006856C5">
              <w:rPr>
                <w:spacing w:val="-3"/>
                <w:sz w:val="18"/>
                <w:szCs w:val="18"/>
              </w:rPr>
              <w:t xml:space="preserve"> </w:t>
            </w:r>
            <w:r w:rsidRPr="006856C5">
              <w:rPr>
                <w:spacing w:val="-1"/>
                <w:sz w:val="18"/>
                <w:szCs w:val="18"/>
              </w:rPr>
              <w:t>this</w:t>
            </w:r>
            <w:r w:rsidRPr="006856C5">
              <w:rPr>
                <w:sz w:val="18"/>
                <w:szCs w:val="18"/>
              </w:rPr>
              <w:t xml:space="preserve"> </w:t>
            </w:r>
            <w:r w:rsidRPr="006856C5">
              <w:rPr>
                <w:spacing w:val="-1"/>
                <w:sz w:val="18"/>
                <w:szCs w:val="18"/>
              </w:rPr>
              <w:t>publication be</w:t>
            </w:r>
            <w:r w:rsidRPr="006856C5">
              <w:rPr>
                <w:spacing w:val="1"/>
                <w:sz w:val="18"/>
                <w:szCs w:val="18"/>
              </w:rPr>
              <w:t xml:space="preserve"> </w:t>
            </w:r>
            <w:r w:rsidRPr="006856C5">
              <w:rPr>
                <w:spacing w:val="-1"/>
                <w:sz w:val="18"/>
                <w:szCs w:val="18"/>
              </w:rPr>
              <w:t>reproduced</w:t>
            </w:r>
            <w:r w:rsidRPr="006856C5">
              <w:rPr>
                <w:spacing w:val="-3"/>
                <w:sz w:val="18"/>
                <w:szCs w:val="18"/>
              </w:rPr>
              <w:t xml:space="preserve"> </w:t>
            </w:r>
            <w:r w:rsidRPr="006856C5">
              <w:rPr>
                <w:spacing w:val="-1"/>
                <w:sz w:val="18"/>
                <w:szCs w:val="18"/>
              </w:rPr>
              <w:t>without</w:t>
            </w:r>
            <w:r w:rsidRPr="006856C5">
              <w:rPr>
                <w:spacing w:val="1"/>
                <w:sz w:val="18"/>
                <w:szCs w:val="18"/>
              </w:rPr>
              <w:t xml:space="preserve"> </w:t>
            </w:r>
            <w:r w:rsidRPr="006856C5">
              <w:rPr>
                <w:spacing w:val="-1"/>
                <w:sz w:val="18"/>
                <w:szCs w:val="18"/>
              </w:rPr>
              <w:t>the</w:t>
            </w:r>
            <w:r w:rsidRPr="006856C5">
              <w:rPr>
                <w:spacing w:val="-2"/>
                <w:sz w:val="18"/>
                <w:szCs w:val="18"/>
              </w:rPr>
              <w:t xml:space="preserve"> </w:t>
            </w:r>
            <w:r w:rsidRPr="006856C5">
              <w:rPr>
                <w:spacing w:val="-1"/>
                <w:sz w:val="18"/>
                <w:szCs w:val="18"/>
              </w:rPr>
              <w:t>written permission</w:t>
            </w:r>
            <w:r w:rsidRPr="006856C5">
              <w:rPr>
                <w:spacing w:val="-3"/>
                <w:sz w:val="18"/>
                <w:szCs w:val="18"/>
              </w:rPr>
              <w:t xml:space="preserve"> </w:t>
            </w:r>
            <w:r w:rsidRPr="006856C5">
              <w:rPr>
                <w:sz w:val="18"/>
                <w:szCs w:val="18"/>
              </w:rPr>
              <w:t xml:space="preserve">of </w:t>
            </w:r>
            <w:r w:rsidRPr="006856C5">
              <w:rPr>
                <w:spacing w:val="-2"/>
                <w:sz w:val="18"/>
                <w:szCs w:val="18"/>
              </w:rPr>
              <w:t>the</w:t>
            </w:r>
            <w:r w:rsidRPr="006856C5">
              <w:rPr>
                <w:spacing w:val="1"/>
                <w:sz w:val="18"/>
                <w:szCs w:val="18"/>
              </w:rPr>
              <w:t xml:space="preserve"> </w:t>
            </w:r>
            <w:r w:rsidRPr="006856C5">
              <w:rPr>
                <w:spacing w:val="-1"/>
                <w:sz w:val="18"/>
                <w:szCs w:val="18"/>
              </w:rPr>
              <w:t>Institute</w:t>
            </w:r>
            <w:r w:rsidRPr="006856C5">
              <w:rPr>
                <w:spacing w:val="1"/>
                <w:sz w:val="18"/>
                <w:szCs w:val="18"/>
              </w:rPr>
              <w:t xml:space="preserve"> </w:t>
            </w:r>
            <w:r w:rsidRPr="006856C5">
              <w:rPr>
                <w:spacing w:val="-1"/>
                <w:sz w:val="18"/>
                <w:szCs w:val="18"/>
              </w:rPr>
              <w:t>and Faculty</w:t>
            </w:r>
            <w:r w:rsidRPr="006856C5">
              <w:rPr>
                <w:spacing w:val="-2"/>
                <w:sz w:val="18"/>
                <w:szCs w:val="18"/>
              </w:rPr>
              <w:t xml:space="preserve"> </w:t>
            </w:r>
            <w:r w:rsidRPr="006856C5">
              <w:rPr>
                <w:sz w:val="18"/>
                <w:szCs w:val="18"/>
              </w:rPr>
              <w:t>of</w:t>
            </w:r>
            <w:r w:rsidRPr="006856C5">
              <w:rPr>
                <w:spacing w:val="59"/>
                <w:sz w:val="18"/>
                <w:szCs w:val="18"/>
              </w:rPr>
              <w:t xml:space="preserve"> </w:t>
            </w:r>
            <w:r w:rsidRPr="006856C5">
              <w:rPr>
                <w:spacing w:val="-1"/>
                <w:sz w:val="18"/>
                <w:szCs w:val="18"/>
              </w:rPr>
              <w:t>Actuaries.</w:t>
            </w:r>
          </w:p>
        </w:tc>
      </w:tr>
      <w:tr w:rsidR="00404DA5" w:rsidRPr="00DE5837" w:rsidTr="00807CB9">
        <w:trPr>
          <w:trHeight w:val="5521"/>
        </w:trPr>
        <w:tc>
          <w:tcPr>
            <w:tcW w:w="9124" w:type="dxa"/>
            <w:vAlign w:val="bottom"/>
          </w:tcPr>
          <w:p w:rsidR="00EE1CE5" w:rsidRPr="00E27ED6" w:rsidRDefault="00EE1CE5" w:rsidP="00EE1CE5">
            <w:pPr>
              <w:pStyle w:val="IFOAofficesubtitlesCoverstyles"/>
              <w:rPr>
                <w:rFonts w:ascii="Arial" w:hAnsi="Arial" w:cs="Arial"/>
              </w:rPr>
            </w:pPr>
            <w:r>
              <w:rPr>
                <w:rFonts w:ascii="Arial" w:hAnsi="Arial" w:cs="Arial"/>
              </w:rPr>
              <w:t>Beijing</w:t>
            </w:r>
          </w:p>
          <w:p w:rsidR="00EE1CE5" w:rsidRPr="00C67C6B" w:rsidRDefault="00EE1CE5" w:rsidP="00EE1CE5">
            <w:pPr>
              <w:pStyle w:val="IFOAaddresscontactdetailsCoverstyles"/>
              <w:rPr>
                <w:rFonts w:ascii="Arial" w:hAnsi="Arial" w:cs="Arial"/>
                <w:b/>
                <w:bCs/>
              </w:rPr>
            </w:pPr>
            <w:r w:rsidRPr="00582870">
              <w:rPr>
                <w:rFonts w:ascii="Arial" w:hAnsi="Arial" w:cs="Arial"/>
              </w:rPr>
              <w:t xml:space="preserve">14F China World Office 1 · 1 </w:t>
            </w:r>
            <w:proofErr w:type="spellStart"/>
            <w:r w:rsidRPr="00582870">
              <w:rPr>
                <w:rFonts w:ascii="Arial" w:hAnsi="Arial" w:cs="Arial"/>
              </w:rPr>
              <w:t>Jianwai</w:t>
            </w:r>
            <w:proofErr w:type="spellEnd"/>
            <w:r w:rsidRPr="00582870">
              <w:rPr>
                <w:rFonts w:ascii="Arial" w:hAnsi="Arial" w:cs="Arial"/>
              </w:rPr>
              <w:t xml:space="preserve"> Avenue · Beijing · China 1000</w:t>
            </w:r>
            <w:r>
              <w:rPr>
                <w:rFonts w:ascii="Arial" w:hAnsi="Arial" w:cs="Arial"/>
              </w:rPr>
              <w:t>04</w:t>
            </w:r>
            <w:r w:rsidRPr="00E27ED6">
              <w:rPr>
                <w:rFonts w:ascii="Arial" w:hAnsi="Arial" w:cs="Arial"/>
              </w:rPr>
              <w:br/>
            </w:r>
            <w:r w:rsidRPr="00C67C6B">
              <w:rPr>
                <w:rFonts w:ascii="Arial" w:hAnsi="Arial" w:cs="Arial"/>
              </w:rPr>
              <w:t xml:space="preserve">Tel: +86 (10) </w:t>
            </w:r>
            <w:r w:rsidRPr="00CD1CE4">
              <w:rPr>
                <w:rFonts w:ascii="Arial" w:hAnsi="Arial" w:cs="Arial"/>
              </w:rPr>
              <w:t>6535 0248</w:t>
            </w:r>
          </w:p>
          <w:p w:rsidR="00EE1CE5" w:rsidRPr="00E27ED6" w:rsidRDefault="00EE1CE5" w:rsidP="00EE1CE5">
            <w:pPr>
              <w:pStyle w:val="IFOAofficesubtitlesCoverstyles"/>
              <w:rPr>
                <w:rFonts w:ascii="Arial" w:hAnsi="Arial" w:cs="Arial"/>
              </w:rPr>
            </w:pPr>
            <w:r w:rsidRPr="00E27ED6">
              <w:rPr>
                <w:rFonts w:ascii="Arial" w:hAnsi="Arial" w:cs="Arial"/>
              </w:rPr>
              <w:t>Edinburgh</w:t>
            </w:r>
          </w:p>
          <w:p w:rsidR="00EE1CE5" w:rsidRPr="00E27ED6" w:rsidRDefault="00EE1CE5" w:rsidP="00EE1CE5">
            <w:pPr>
              <w:pStyle w:val="IFOAaddresscontactdetailsCoverstyles"/>
              <w:rPr>
                <w:rFonts w:ascii="Arial" w:hAnsi="Arial" w:cs="Arial"/>
              </w:rPr>
            </w:pPr>
            <w:r w:rsidRPr="00C67C6B">
              <w:rPr>
                <w:rFonts w:ascii="Arial" w:hAnsi="Arial" w:cs="Arial"/>
              </w:rPr>
              <w:t>Level 2 · Exchange Crescent · 7 Conference Square · Edinburgh · EH3 8RA</w:t>
            </w:r>
            <w:r w:rsidRPr="00E27ED6">
              <w:rPr>
                <w:rFonts w:ascii="Arial" w:hAnsi="Arial" w:cs="Arial"/>
              </w:rPr>
              <w:br/>
              <w:t>Tel: +44 (0) 131 240 1300 · Fax: +44 (0) 131 240 1313</w:t>
            </w:r>
          </w:p>
          <w:p w:rsidR="00EE1CE5" w:rsidRPr="00E27ED6" w:rsidRDefault="00EE1CE5" w:rsidP="00EE1CE5">
            <w:pPr>
              <w:pStyle w:val="IFOAofficesubtitlesCoverstyles"/>
              <w:spacing w:before="0"/>
              <w:rPr>
                <w:rFonts w:ascii="Arial" w:hAnsi="Arial" w:cs="Arial"/>
                <w:lang w:val="en-US"/>
              </w:rPr>
            </w:pPr>
            <w:r w:rsidRPr="00E27ED6">
              <w:rPr>
                <w:rFonts w:ascii="Arial" w:hAnsi="Arial" w:cs="Arial"/>
                <w:lang w:val="en-US"/>
              </w:rPr>
              <w:t>Hong Kong</w:t>
            </w:r>
          </w:p>
          <w:p w:rsidR="00EE1CE5" w:rsidRDefault="00EE1CE5" w:rsidP="00EE1CE5">
            <w:pPr>
              <w:rPr>
                <w:rFonts w:ascii="Arial" w:hAnsi="Arial" w:cs="Arial"/>
                <w:color w:val="FFFFFF" w:themeColor="background1"/>
                <w:sz w:val="17"/>
                <w:szCs w:val="17"/>
              </w:rPr>
            </w:pPr>
            <w:r>
              <w:rPr>
                <w:rFonts w:ascii="Arial" w:hAnsi="Arial" w:cs="Arial"/>
                <w:color w:val="FFFFFF" w:themeColor="background1"/>
                <w:sz w:val="17"/>
                <w:szCs w:val="17"/>
              </w:rPr>
              <w:t>1803</w:t>
            </w:r>
            <w:r w:rsidRPr="00DE5837">
              <w:rPr>
                <w:rFonts w:ascii="Arial" w:hAnsi="Arial" w:cs="Arial"/>
                <w:color w:val="FFFFFF" w:themeColor="background1"/>
                <w:sz w:val="17"/>
                <w:szCs w:val="17"/>
              </w:rPr>
              <w:t xml:space="preserve"> Tower </w:t>
            </w:r>
            <w:r>
              <w:rPr>
                <w:rFonts w:ascii="Arial" w:hAnsi="Arial" w:cs="Arial"/>
                <w:color w:val="FFFFFF" w:themeColor="background1"/>
                <w:sz w:val="17"/>
                <w:szCs w:val="17"/>
              </w:rPr>
              <w:t>One</w:t>
            </w:r>
            <w:r w:rsidRPr="00DE5837">
              <w:rPr>
                <w:rFonts w:ascii="Arial" w:hAnsi="Arial" w:cs="Arial"/>
                <w:color w:val="FFFFFF" w:themeColor="background1"/>
                <w:sz w:val="17"/>
                <w:szCs w:val="17"/>
              </w:rPr>
              <w:t xml:space="preserve"> · Lippo Centre · 89 Queensway · Hong Kong</w:t>
            </w:r>
            <w:r w:rsidRPr="00DE5837">
              <w:rPr>
                <w:rFonts w:ascii="Arial" w:hAnsi="Arial" w:cs="Arial"/>
                <w:color w:val="FFFFFF" w:themeColor="background1"/>
                <w:sz w:val="17"/>
                <w:szCs w:val="17"/>
              </w:rPr>
              <w:br/>
              <w:t>Tel: +852 2147 9</w:t>
            </w:r>
            <w:r>
              <w:rPr>
                <w:rFonts w:ascii="Arial" w:hAnsi="Arial" w:cs="Arial"/>
                <w:color w:val="FFFFFF" w:themeColor="background1"/>
                <w:sz w:val="17"/>
                <w:szCs w:val="17"/>
              </w:rPr>
              <w:t xml:space="preserve">418 </w:t>
            </w:r>
          </w:p>
          <w:p w:rsidR="00EE1CE5" w:rsidRPr="00E27ED6" w:rsidRDefault="00EE1CE5" w:rsidP="00EE1CE5">
            <w:pPr>
              <w:pStyle w:val="CityName"/>
              <w:framePr w:hSpace="0" w:wrap="auto" w:vAnchor="margin" w:hAnchor="text" w:xAlign="left" w:yAlign="inline"/>
            </w:pPr>
            <w:r w:rsidRPr="00E27ED6">
              <w:t>London</w:t>
            </w:r>
            <w:r>
              <w:t xml:space="preserve"> (registered office)</w:t>
            </w:r>
          </w:p>
          <w:p w:rsidR="00EE1CE5" w:rsidRPr="00E27ED6" w:rsidRDefault="00EE1CE5" w:rsidP="00EE1CE5">
            <w:pPr>
              <w:pStyle w:val="CityAddress"/>
              <w:framePr w:hSpace="0" w:wrap="auto" w:vAnchor="margin" w:hAnchor="text" w:xAlign="left" w:yAlign="inline"/>
            </w:pPr>
            <w:r>
              <w:t>7</w:t>
            </w:r>
            <w:r w:rsidRPr="00E4056F">
              <w:rPr>
                <w:vertAlign w:val="superscript"/>
              </w:rPr>
              <w:t>th</w:t>
            </w:r>
            <w:r>
              <w:t xml:space="preserve"> Floor</w:t>
            </w:r>
            <w:r w:rsidRPr="00E27ED6">
              <w:t xml:space="preserve"> · </w:t>
            </w:r>
            <w:r>
              <w:t>Holborn Gate</w:t>
            </w:r>
            <w:r w:rsidRPr="00E27ED6">
              <w:t xml:space="preserve"> · </w:t>
            </w:r>
            <w:r>
              <w:t>326-330 High Holborn · London · WC1V 7PP</w:t>
            </w:r>
            <w:r w:rsidRPr="00E27ED6">
              <w:t xml:space="preserve"> </w:t>
            </w:r>
            <w:r>
              <w:br/>
            </w:r>
            <w:r w:rsidRPr="00E27ED6">
              <w:t>Tel: +44 (0) 20 7632 2100 · Fax: +44 (0) 20 7632 2111</w:t>
            </w:r>
          </w:p>
          <w:p w:rsidR="00EE1CE5" w:rsidRPr="00E27ED6" w:rsidRDefault="00EE1CE5" w:rsidP="00EE1CE5">
            <w:pPr>
              <w:pStyle w:val="IFOAofficesubtitlesCoverstyles"/>
              <w:rPr>
                <w:rFonts w:ascii="Arial" w:hAnsi="Arial" w:cs="Arial"/>
              </w:rPr>
            </w:pPr>
            <w:r w:rsidRPr="00E27ED6">
              <w:rPr>
                <w:rFonts w:ascii="Arial" w:hAnsi="Arial" w:cs="Arial"/>
              </w:rPr>
              <w:t>Oxford</w:t>
            </w:r>
          </w:p>
          <w:p w:rsidR="00EE1CE5" w:rsidRPr="009E6DAD" w:rsidRDefault="00EE1CE5" w:rsidP="00EE1CE5">
            <w:pPr>
              <w:pStyle w:val="IFOAaddresscontactdetailsCoverstyles"/>
              <w:rPr>
                <w:rFonts w:ascii="Arial" w:hAnsi="Arial" w:cs="Arial"/>
              </w:rPr>
            </w:pPr>
            <w:r>
              <w:rPr>
                <w:rFonts w:ascii="Arial" w:hAnsi="Arial" w:cs="Arial"/>
              </w:rPr>
              <w:t>1</w:t>
            </w:r>
            <w:r w:rsidRPr="00E4056F">
              <w:rPr>
                <w:rFonts w:ascii="Arial" w:hAnsi="Arial" w:cs="Arial"/>
                <w:vertAlign w:val="superscript"/>
              </w:rPr>
              <w:t>st</w:t>
            </w:r>
            <w:r>
              <w:rPr>
                <w:rFonts w:ascii="Arial" w:hAnsi="Arial" w:cs="Arial"/>
              </w:rPr>
              <w:t xml:space="preserve"> Floor</w:t>
            </w:r>
            <w:r w:rsidRPr="00E27ED6">
              <w:rPr>
                <w:rFonts w:ascii="Arial" w:hAnsi="Arial" w:cs="Arial"/>
              </w:rPr>
              <w:t xml:space="preserve"> · </w:t>
            </w:r>
            <w:r>
              <w:rPr>
                <w:rFonts w:ascii="Arial" w:hAnsi="Arial" w:cs="Arial"/>
              </w:rPr>
              <w:t xml:space="preserve">Park Central · 40/41 Park End Street </w:t>
            </w:r>
            <w:r w:rsidRPr="00E27ED6">
              <w:rPr>
                <w:rFonts w:ascii="Arial" w:hAnsi="Arial" w:cs="Arial"/>
              </w:rPr>
              <w:t xml:space="preserve">· Oxford · OX1 </w:t>
            </w:r>
            <w:r>
              <w:rPr>
                <w:rFonts w:ascii="Arial" w:hAnsi="Arial" w:cs="Arial"/>
              </w:rPr>
              <w:t>1JD</w:t>
            </w:r>
            <w:r w:rsidRPr="00E27ED6">
              <w:rPr>
                <w:rFonts w:ascii="Arial" w:hAnsi="Arial" w:cs="Arial"/>
              </w:rPr>
              <w:br/>
              <w:t>Tel: +44 (0) 1865 268 200 · Fax: +44 (0) 1865 268 211</w:t>
            </w:r>
          </w:p>
          <w:p w:rsidR="00EE1CE5" w:rsidRPr="00E27ED6" w:rsidRDefault="00EE1CE5" w:rsidP="00EE1CE5">
            <w:pPr>
              <w:pStyle w:val="IFOAofficesubtitlesCoverstyles"/>
              <w:spacing w:before="0"/>
              <w:rPr>
                <w:rFonts w:ascii="Arial" w:hAnsi="Arial" w:cs="Arial"/>
                <w:lang w:val="en-US"/>
              </w:rPr>
            </w:pPr>
            <w:r>
              <w:rPr>
                <w:rFonts w:ascii="Arial" w:hAnsi="Arial" w:cs="Arial"/>
                <w:lang w:val="en-US"/>
              </w:rPr>
              <w:t>Singapore</w:t>
            </w:r>
          </w:p>
          <w:p w:rsidR="00807CB9" w:rsidRPr="00EE1CE5" w:rsidRDefault="00EE1CE5" w:rsidP="00946A78">
            <w:pPr>
              <w:rPr>
                <w:rFonts w:ascii="Arial" w:hAnsi="Arial" w:cs="Arial"/>
                <w:color w:val="FFFFFF" w:themeColor="background1"/>
                <w:sz w:val="17"/>
                <w:szCs w:val="17"/>
              </w:rPr>
            </w:pPr>
            <w:r>
              <w:rPr>
                <w:rFonts w:ascii="Arial" w:hAnsi="Arial" w:cs="Arial"/>
                <w:color w:val="FFFFFF" w:themeColor="background1"/>
                <w:sz w:val="17"/>
                <w:szCs w:val="17"/>
              </w:rPr>
              <w:t xml:space="preserve">163 </w:t>
            </w:r>
            <w:proofErr w:type="spellStart"/>
            <w:r>
              <w:rPr>
                <w:rFonts w:ascii="Arial" w:hAnsi="Arial" w:cs="Arial"/>
                <w:color w:val="FFFFFF" w:themeColor="background1"/>
                <w:sz w:val="17"/>
                <w:szCs w:val="17"/>
              </w:rPr>
              <w:t>Tras</w:t>
            </w:r>
            <w:proofErr w:type="spellEnd"/>
            <w:r>
              <w:rPr>
                <w:rFonts w:ascii="Arial" w:hAnsi="Arial" w:cs="Arial"/>
                <w:color w:val="FFFFFF" w:themeColor="background1"/>
                <w:sz w:val="17"/>
                <w:szCs w:val="17"/>
              </w:rPr>
              <w:t xml:space="preserve"> Street · #07-05 </w:t>
            </w:r>
            <w:proofErr w:type="spellStart"/>
            <w:r>
              <w:rPr>
                <w:rFonts w:ascii="Arial" w:hAnsi="Arial" w:cs="Arial"/>
                <w:color w:val="FFFFFF" w:themeColor="background1"/>
                <w:sz w:val="17"/>
                <w:szCs w:val="17"/>
              </w:rPr>
              <w:t>Lian</w:t>
            </w:r>
            <w:proofErr w:type="spellEnd"/>
            <w:r>
              <w:rPr>
                <w:rFonts w:ascii="Arial" w:hAnsi="Arial" w:cs="Arial"/>
                <w:color w:val="FFFFFF" w:themeColor="background1"/>
                <w:sz w:val="17"/>
                <w:szCs w:val="17"/>
              </w:rPr>
              <w:t xml:space="preserve"> </w:t>
            </w:r>
            <w:proofErr w:type="spellStart"/>
            <w:r>
              <w:rPr>
                <w:rFonts w:ascii="Arial" w:hAnsi="Arial" w:cs="Arial"/>
                <w:color w:val="FFFFFF" w:themeColor="background1"/>
                <w:sz w:val="17"/>
                <w:szCs w:val="17"/>
              </w:rPr>
              <w:t>Huat</w:t>
            </w:r>
            <w:proofErr w:type="spellEnd"/>
            <w:r>
              <w:rPr>
                <w:rFonts w:ascii="Arial" w:hAnsi="Arial" w:cs="Arial"/>
                <w:color w:val="FFFFFF" w:themeColor="background1"/>
                <w:sz w:val="17"/>
                <w:szCs w:val="17"/>
              </w:rPr>
              <w:t xml:space="preserve"> Building · Singapore 079024</w:t>
            </w:r>
            <w:r>
              <w:rPr>
                <w:rFonts w:ascii="Arial" w:hAnsi="Arial" w:cs="Arial"/>
                <w:color w:val="FFFFFF" w:themeColor="background1"/>
                <w:sz w:val="17"/>
                <w:szCs w:val="17"/>
              </w:rPr>
              <w:br/>
              <w:t xml:space="preserve">Tel: +65 6717 2955 </w:t>
            </w:r>
          </w:p>
        </w:tc>
      </w:tr>
      <w:tr w:rsidR="00404DA5" w:rsidRPr="00DE5837" w:rsidTr="00807CB9">
        <w:trPr>
          <w:trHeight w:val="1179"/>
        </w:trPr>
        <w:tc>
          <w:tcPr>
            <w:tcW w:w="9124" w:type="dxa"/>
            <w:vAlign w:val="bottom"/>
          </w:tcPr>
          <w:p w:rsidR="00404DA5" w:rsidRPr="00BA2E39" w:rsidRDefault="00A040E4" w:rsidP="00946A78">
            <w:pPr>
              <w:pStyle w:val="Webaddress"/>
            </w:pPr>
            <w:hyperlink r:id="rId9" w:history="1">
              <w:r w:rsidR="00404DA5" w:rsidRPr="00BA2E39">
                <w:rPr>
                  <w:rStyle w:val="Hyperlink"/>
                  <w:color w:val="FFFFFF" w:themeColor="background1"/>
                  <w:u w:val="none"/>
                </w:rPr>
                <w:t>www.actuaries.org.uk</w:t>
              </w:r>
            </w:hyperlink>
          </w:p>
          <w:p w:rsidR="00404DA5" w:rsidRPr="00BA2E39" w:rsidRDefault="00404DA5" w:rsidP="00816D94">
            <w:pPr>
              <w:pStyle w:val="CityName"/>
              <w:framePr w:hSpace="0" w:wrap="auto" w:vAnchor="margin" w:hAnchor="text" w:xAlign="left" w:yAlign="inline"/>
              <w:spacing w:before="0" w:after="0" w:line="240" w:lineRule="auto"/>
              <w:rPr>
                <w:sz w:val="14"/>
                <w:szCs w:val="14"/>
              </w:rPr>
            </w:pPr>
            <w:r w:rsidRPr="00BA2E39">
              <w:rPr>
                <w:sz w:val="14"/>
                <w:szCs w:val="14"/>
              </w:rPr>
              <w:t>© 201</w:t>
            </w:r>
            <w:r w:rsidR="009E24AF">
              <w:rPr>
                <w:sz w:val="14"/>
                <w:szCs w:val="14"/>
              </w:rPr>
              <w:t>7</w:t>
            </w:r>
            <w:r w:rsidRPr="00BA2E39">
              <w:rPr>
                <w:sz w:val="14"/>
                <w:szCs w:val="14"/>
              </w:rPr>
              <w:t xml:space="preserve"> Institute and Faculty of Actuaries</w:t>
            </w:r>
          </w:p>
        </w:tc>
      </w:tr>
    </w:tbl>
    <w:p w:rsidR="00CC45F4" w:rsidRPr="00E93977" w:rsidRDefault="00CC45F4"/>
    <w:sectPr w:rsidR="00CC45F4" w:rsidRPr="00E93977" w:rsidSect="00CC45F4">
      <w:pgSz w:w="11906" w:h="16838"/>
      <w:pgMar w:top="1440" w:right="1440" w:bottom="102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0E4" w:rsidRDefault="00A040E4" w:rsidP="00361531">
      <w:pPr>
        <w:spacing w:after="0" w:line="240" w:lineRule="auto"/>
      </w:pPr>
      <w:r>
        <w:separator/>
      </w:r>
    </w:p>
  </w:endnote>
  <w:endnote w:type="continuationSeparator" w:id="0">
    <w:p w:rsidR="00A040E4" w:rsidRDefault="00A040E4" w:rsidP="0036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panose1 w:val="00000000000000000000"/>
    <w:charset w:val="00"/>
    <w:family w:val="modern"/>
    <w:notTrueType/>
    <w:pitch w:val="variable"/>
    <w:sig w:usb0="A10000FF" w:usb1="4000005B" w:usb2="00000000" w:usb3="00000000" w:csb0="0000009B" w:csb1="00000000"/>
  </w:font>
  <w:font w:name="Gotham Narrow Book">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0E4" w:rsidRDefault="00A040E4" w:rsidP="00361531">
      <w:pPr>
        <w:spacing w:after="0" w:line="240" w:lineRule="auto"/>
      </w:pPr>
      <w:r>
        <w:separator/>
      </w:r>
    </w:p>
  </w:footnote>
  <w:footnote w:type="continuationSeparator" w:id="0">
    <w:p w:rsidR="00A040E4" w:rsidRDefault="00A040E4" w:rsidP="00361531">
      <w:pPr>
        <w:spacing w:after="0" w:line="240" w:lineRule="auto"/>
      </w:pPr>
      <w:r>
        <w:continuationSeparator/>
      </w:r>
    </w:p>
  </w:footnote>
  <w:footnote w:id="1">
    <w:p w:rsidR="00F87758" w:rsidRDefault="00F87758" w:rsidP="00471F57">
      <w:pPr>
        <w:pStyle w:val="FootnoteText"/>
        <w:spacing w:after="60"/>
      </w:pPr>
      <w:r>
        <w:rPr>
          <w:rStyle w:val="FootnoteReference"/>
        </w:rPr>
        <w:footnoteRef/>
      </w:r>
      <w:r>
        <w:t xml:space="preserve"> </w:t>
      </w:r>
      <w:r>
        <w:t>O</w:t>
      </w:r>
      <w:r>
        <w:t>ffice for National Statistics (2016)</w:t>
      </w:r>
      <w:r>
        <w:t xml:space="preserve"> </w:t>
      </w:r>
      <w:proofErr w:type="gramStart"/>
      <w:r w:rsidRPr="00F87758">
        <w:rPr>
          <w:i/>
        </w:rPr>
        <w:t>How</w:t>
      </w:r>
      <w:proofErr w:type="gramEnd"/>
      <w:r w:rsidRPr="00F87758">
        <w:rPr>
          <w:i/>
        </w:rPr>
        <w:t xml:space="preserve"> is the welfare budget spent?</w:t>
      </w:r>
    </w:p>
  </w:footnote>
  <w:footnote w:id="2">
    <w:p w:rsidR="00F87758" w:rsidRDefault="00F87758" w:rsidP="00471F57">
      <w:pPr>
        <w:pStyle w:val="FootnoteText"/>
        <w:spacing w:after="60"/>
      </w:pPr>
      <w:r>
        <w:rPr>
          <w:rStyle w:val="FootnoteReference"/>
        </w:rPr>
        <w:footnoteRef/>
      </w:r>
      <w:r>
        <w:t xml:space="preserve"> </w:t>
      </w:r>
      <w:r>
        <w:t>P</w:t>
      </w:r>
      <w:r>
        <w:t>ensions Policy Institute</w:t>
      </w:r>
      <w:r>
        <w:t xml:space="preserve"> (2015), </w:t>
      </w:r>
      <w:r>
        <w:rPr>
          <w:i/>
        </w:rPr>
        <w:t>The Future Book,</w:t>
      </w:r>
      <w:r w:rsidRPr="00F87758">
        <w:rPr>
          <w:i/>
        </w:rPr>
        <w:t xml:space="preserve"> </w:t>
      </w:r>
      <w:proofErr w:type="spellStart"/>
      <w:r w:rsidRPr="00F87758">
        <w:rPr>
          <w:i/>
          <w:u w:val="single"/>
        </w:rPr>
        <w:t>u</w:t>
      </w:r>
      <w:r w:rsidRPr="00F87758">
        <w:rPr>
          <w:i/>
        </w:rPr>
        <w:t>nraveling</w:t>
      </w:r>
      <w:proofErr w:type="spellEnd"/>
      <w:r w:rsidRPr="00F87758">
        <w:rPr>
          <w:i/>
        </w:rPr>
        <w:t xml:space="preserve"> workplace pensions</w:t>
      </w:r>
    </w:p>
  </w:footnote>
  <w:footnote w:id="3">
    <w:p w:rsidR="00F87758" w:rsidRDefault="00F87758" w:rsidP="00471F57">
      <w:pPr>
        <w:pStyle w:val="FootnoteText"/>
        <w:spacing w:after="60"/>
      </w:pPr>
      <w:r>
        <w:rPr>
          <w:rStyle w:val="FootnoteReference"/>
        </w:rPr>
        <w:footnoteRef/>
      </w:r>
      <w:r>
        <w:t xml:space="preserve"> NEST (2017)</w:t>
      </w:r>
      <w:r>
        <w:t xml:space="preserve"> </w:t>
      </w:r>
      <w:r w:rsidRPr="00F87758">
        <w:rPr>
          <w:i/>
        </w:rPr>
        <w:t>Self-employed Members</w:t>
      </w:r>
    </w:p>
  </w:footnote>
  <w:footnote w:id="4">
    <w:p w:rsidR="00F87758" w:rsidRPr="00F87758" w:rsidRDefault="00F87758" w:rsidP="00471F57">
      <w:pPr>
        <w:pStyle w:val="FootnoteText"/>
        <w:spacing w:after="60"/>
        <w:rPr>
          <w:i/>
        </w:rPr>
      </w:pPr>
      <w:r>
        <w:rPr>
          <w:rStyle w:val="FootnoteReference"/>
        </w:rPr>
        <w:footnoteRef/>
      </w:r>
      <w:r>
        <w:t xml:space="preserve"> </w:t>
      </w:r>
      <w:r>
        <w:t>P</w:t>
      </w:r>
      <w:r>
        <w:t>ensions Policy Institute</w:t>
      </w:r>
      <w:r>
        <w:t xml:space="preserve"> (2012) </w:t>
      </w:r>
      <w:r w:rsidRPr="00F87758">
        <w:rPr>
          <w:i/>
        </w:rPr>
        <w:t>Closing the gap: the choices and factors that can affect private pension</w:t>
      </w:r>
      <w:r>
        <w:rPr>
          <w:i/>
        </w:rPr>
        <w:br/>
        <w:t xml:space="preserve">  </w:t>
      </w:r>
      <w:r w:rsidRPr="00F87758">
        <w:rPr>
          <w:i/>
        </w:rPr>
        <w:t xml:space="preserve"> income in retirement</w:t>
      </w:r>
    </w:p>
  </w:footnote>
  <w:footnote w:id="5">
    <w:p w:rsidR="0011676B" w:rsidRDefault="0011676B" w:rsidP="00471F57">
      <w:pPr>
        <w:pStyle w:val="FootnoteText"/>
        <w:spacing w:after="60"/>
      </w:pPr>
      <w:r>
        <w:rPr>
          <w:rStyle w:val="FootnoteReference"/>
        </w:rPr>
        <w:footnoteRef/>
      </w:r>
      <w:r>
        <w:t xml:space="preserve"> </w:t>
      </w:r>
      <w:r>
        <w:t xml:space="preserve">Deloitte (2007) </w:t>
      </w:r>
      <w:r w:rsidRPr="00AA0BFE">
        <w:rPr>
          <w:i/>
        </w:rPr>
        <w:t>The Pension Protection Act of 2006: A Closer Look at ... Automatic Enrolment</w:t>
      </w:r>
    </w:p>
  </w:footnote>
  <w:footnote w:id="6">
    <w:p w:rsidR="00F87758" w:rsidRDefault="00F87758" w:rsidP="00471F57">
      <w:pPr>
        <w:pStyle w:val="FootnoteText"/>
        <w:spacing w:after="60"/>
      </w:pPr>
      <w:r>
        <w:rPr>
          <w:rStyle w:val="FootnoteReference"/>
        </w:rPr>
        <w:footnoteRef/>
      </w:r>
      <w:r>
        <w:t xml:space="preserve"> </w:t>
      </w:r>
      <w:proofErr w:type="spellStart"/>
      <w:r>
        <w:t>Bernatzi</w:t>
      </w:r>
      <w:proofErr w:type="spellEnd"/>
      <w:r>
        <w:t xml:space="preserve"> and </w:t>
      </w:r>
      <w:proofErr w:type="spellStart"/>
      <w:r>
        <w:t>Thaler</w:t>
      </w:r>
      <w:proofErr w:type="spellEnd"/>
      <w:r>
        <w:t xml:space="preserve"> (2013)</w:t>
      </w:r>
      <w:r>
        <w:t xml:space="preserve"> </w:t>
      </w:r>
      <w:r w:rsidRPr="00F87758">
        <w:rPr>
          <w:i/>
        </w:rPr>
        <w:t>Behavioural Economics and the Retirement Savings Crisis</w:t>
      </w:r>
      <w:r>
        <w:t xml:space="preserve">, Science, Vol 339, Issue </w:t>
      </w:r>
      <w:r>
        <w:br/>
        <w:t xml:space="preserve">  </w:t>
      </w:r>
      <w:r>
        <w:t xml:space="preserve">6124, </w:t>
      </w:r>
      <w:r>
        <w:t>American Association for the Advancement of Science</w:t>
      </w:r>
    </w:p>
  </w:footnote>
  <w:footnote w:id="7">
    <w:p w:rsidR="00F87758" w:rsidRDefault="00F87758" w:rsidP="00471F57">
      <w:pPr>
        <w:pStyle w:val="FootnoteText"/>
        <w:spacing w:after="60"/>
      </w:pPr>
      <w:r>
        <w:rPr>
          <w:rStyle w:val="FootnoteReference"/>
        </w:rPr>
        <w:footnoteRef/>
      </w:r>
      <w:r>
        <w:t xml:space="preserve"> </w:t>
      </w:r>
      <w:r>
        <w:t>N</w:t>
      </w:r>
      <w:r>
        <w:t xml:space="preserve">ew </w:t>
      </w:r>
      <w:r>
        <w:t>Z</w:t>
      </w:r>
      <w:r>
        <w:t>ealand</w:t>
      </w:r>
      <w:r>
        <w:t xml:space="preserve"> Institute of Economic Research (2015) </w:t>
      </w:r>
      <w:proofErr w:type="spellStart"/>
      <w:r w:rsidRPr="00F87758">
        <w:rPr>
          <w:i/>
        </w:rPr>
        <w:t>KiwiSaver</w:t>
      </w:r>
      <w:proofErr w:type="spellEnd"/>
      <w:r w:rsidRPr="00F87758">
        <w:rPr>
          <w:i/>
        </w:rPr>
        <w:t xml:space="preserve"> a</w:t>
      </w:r>
      <w:r w:rsidRPr="00F87758">
        <w:rPr>
          <w:i/>
        </w:rPr>
        <w:t>nd the wealth of New Zealanders</w:t>
      </w:r>
    </w:p>
  </w:footnote>
  <w:footnote w:id="8">
    <w:p w:rsidR="008C2A15" w:rsidRDefault="008C2A15" w:rsidP="00471F57">
      <w:pPr>
        <w:pStyle w:val="FootnoteText"/>
        <w:spacing w:after="60"/>
      </w:pPr>
      <w:r>
        <w:rPr>
          <w:rStyle w:val="FootnoteReference"/>
        </w:rPr>
        <w:footnoteRef/>
      </w:r>
      <w:r>
        <w:t xml:space="preserve"> </w:t>
      </w:r>
      <w:r>
        <w:t>The Pensions R</w:t>
      </w:r>
      <w:r>
        <w:t>egulator (2016)</w:t>
      </w:r>
      <w:r>
        <w:t xml:space="preserve"> </w:t>
      </w:r>
      <w:r w:rsidRPr="008C2A15">
        <w:rPr>
          <w:i/>
        </w:rPr>
        <w:t>Different Types of Worker</w:t>
      </w:r>
    </w:p>
  </w:footnote>
  <w:footnote w:id="9">
    <w:p w:rsidR="008C2A15" w:rsidRDefault="008C2A15" w:rsidP="00471F57">
      <w:pPr>
        <w:pStyle w:val="FootnoteText"/>
        <w:spacing w:after="60"/>
      </w:pPr>
      <w:r>
        <w:rPr>
          <w:rStyle w:val="FootnoteReference"/>
        </w:rPr>
        <w:footnoteRef/>
      </w:r>
      <w:r>
        <w:t xml:space="preserve"> </w:t>
      </w:r>
      <w:r>
        <w:t>D</w:t>
      </w:r>
      <w:r>
        <w:t>epartment for Work and Pensions</w:t>
      </w:r>
      <w:r>
        <w:t xml:space="preserve"> (2016) </w:t>
      </w:r>
      <w:r w:rsidRPr="008C2A15">
        <w:rPr>
          <w:i/>
        </w:rPr>
        <w:t>Automatic Enrolment evaluation report</w:t>
      </w:r>
    </w:p>
  </w:footnote>
  <w:footnote w:id="10">
    <w:p w:rsidR="00D74B3C" w:rsidRDefault="00D74B3C" w:rsidP="00471F57">
      <w:pPr>
        <w:pStyle w:val="FootnoteText"/>
        <w:spacing w:after="60"/>
      </w:pPr>
      <w:r>
        <w:rPr>
          <w:rStyle w:val="FootnoteReference"/>
        </w:rPr>
        <w:footnoteRef/>
      </w:r>
      <w:r>
        <w:t xml:space="preserve"> Citizens Advice (2017)</w:t>
      </w:r>
      <w:r>
        <w:t xml:space="preserve"> </w:t>
      </w:r>
      <w:r w:rsidRPr="00D74B3C">
        <w:rPr>
          <w:i/>
        </w:rPr>
        <w:t>People in multiple jobs missing ou</w:t>
      </w:r>
      <w:r w:rsidRPr="00D74B3C">
        <w:rPr>
          <w:i/>
        </w:rPr>
        <w:t>t on a workplace pension</w:t>
      </w:r>
    </w:p>
  </w:footnote>
  <w:footnote w:id="11">
    <w:p w:rsidR="000C4C2B" w:rsidRDefault="000C4C2B" w:rsidP="00471F57">
      <w:pPr>
        <w:pStyle w:val="FootnoteText"/>
        <w:spacing w:after="60"/>
      </w:pPr>
      <w:r>
        <w:rPr>
          <w:rStyle w:val="FootnoteReference"/>
        </w:rPr>
        <w:footnoteRef/>
      </w:r>
      <w:r>
        <w:t xml:space="preserve"> </w:t>
      </w:r>
      <w:r>
        <w:t xml:space="preserve">FT Adviser (2017) </w:t>
      </w:r>
      <w:r w:rsidRPr="000C4C2B">
        <w:rPr>
          <w:i/>
        </w:rPr>
        <w:t>Webb unveils trick to get self-employed into pensions</w:t>
      </w:r>
    </w:p>
  </w:footnote>
  <w:footnote w:id="12">
    <w:p w:rsidR="000869FE" w:rsidRDefault="000869FE" w:rsidP="00471F57">
      <w:pPr>
        <w:pStyle w:val="FootnoteText"/>
        <w:spacing w:after="60"/>
      </w:pPr>
      <w:r>
        <w:rPr>
          <w:rStyle w:val="FootnoteReference"/>
        </w:rPr>
        <w:footnoteRef/>
      </w:r>
      <w:r>
        <w:t xml:space="preserve"> </w:t>
      </w:r>
      <w:r>
        <w:t>P</w:t>
      </w:r>
      <w:r>
        <w:t>ension and Lifetime Savings Association</w:t>
      </w:r>
      <w:r>
        <w:t xml:space="preserve"> (2016) </w:t>
      </w:r>
      <w:r w:rsidRPr="000869FE">
        <w:rPr>
          <w:i/>
        </w:rPr>
        <w:t>Retirement Income Adequacy, Generation by Generation</w:t>
      </w:r>
    </w:p>
  </w:footnote>
  <w:footnote w:id="13">
    <w:p w:rsidR="00D63F0D" w:rsidRDefault="00D63F0D" w:rsidP="00471F57">
      <w:pPr>
        <w:pStyle w:val="FootnoteText"/>
        <w:spacing w:after="60"/>
      </w:pPr>
      <w:r>
        <w:rPr>
          <w:rStyle w:val="FootnoteReference"/>
        </w:rPr>
        <w:footnoteRef/>
      </w:r>
      <w:r>
        <w:t xml:space="preserve"> </w:t>
      </w:r>
      <w:proofErr w:type="spellStart"/>
      <w:r>
        <w:t>Madrian</w:t>
      </w:r>
      <w:proofErr w:type="spellEnd"/>
      <w:r>
        <w:t xml:space="preserve"> and </w:t>
      </w:r>
      <w:proofErr w:type="spellStart"/>
      <w:r>
        <w:t>Shea</w:t>
      </w:r>
      <w:proofErr w:type="spellEnd"/>
      <w:r>
        <w:t xml:space="preserve"> (2001) </w:t>
      </w:r>
      <w:r w:rsidRPr="00D63F0D">
        <w:rPr>
          <w:i/>
        </w:rPr>
        <w:t xml:space="preserve">The Power Of Suggestion: Inertia In 401(k) Participation And Savings </w:t>
      </w:r>
      <w:proofErr w:type="spellStart"/>
      <w:r w:rsidRPr="00D63F0D">
        <w:rPr>
          <w:i/>
        </w:rPr>
        <w:t>Behavior</w:t>
      </w:r>
      <w:proofErr w:type="spellEnd"/>
      <w:r>
        <w:t xml:space="preserve"> </w:t>
      </w:r>
      <w:r>
        <w:br/>
        <w:t xml:space="preserve">   </w:t>
      </w:r>
      <w:r>
        <w:t>Quarterly Journal of Economics, v116, Oxford University Press</w:t>
      </w:r>
    </w:p>
  </w:footnote>
  <w:footnote w:id="14">
    <w:p w:rsidR="00201CE1" w:rsidRDefault="00201CE1" w:rsidP="00471F57">
      <w:pPr>
        <w:pStyle w:val="FootnoteText"/>
        <w:spacing w:after="60"/>
      </w:pPr>
      <w:r>
        <w:rPr>
          <w:rStyle w:val="FootnoteReference"/>
        </w:rPr>
        <w:footnoteRef/>
      </w:r>
      <w:r>
        <w:t xml:space="preserve"> </w:t>
      </w:r>
      <w:r w:rsidRPr="00201CE1">
        <w:t>Organisation for Economic Co-operation and Development</w:t>
      </w:r>
      <w:r>
        <w:t xml:space="preserve"> (2015) </w:t>
      </w:r>
      <w:r w:rsidRPr="00201CE1">
        <w:rPr>
          <w:i/>
        </w:rPr>
        <w:t xml:space="preserve">Pensions at a glance 2015: OECD and G20 </w:t>
      </w:r>
      <w:r>
        <w:rPr>
          <w:i/>
        </w:rPr>
        <w:br/>
        <w:t xml:space="preserve">   </w:t>
      </w:r>
      <w:r w:rsidRPr="00201CE1">
        <w:rPr>
          <w:i/>
        </w:rPr>
        <w:t>indicators</w:t>
      </w:r>
    </w:p>
  </w:footnote>
  <w:footnote w:id="15">
    <w:p w:rsidR="00FE113A" w:rsidRDefault="00FE113A" w:rsidP="00471F57">
      <w:pPr>
        <w:pStyle w:val="FootnoteText"/>
        <w:spacing w:after="60"/>
      </w:pPr>
      <w:r>
        <w:rPr>
          <w:rStyle w:val="FootnoteReference"/>
        </w:rPr>
        <w:footnoteRef/>
      </w:r>
      <w:r>
        <w:t xml:space="preserve"> </w:t>
      </w:r>
      <w:r>
        <w:t>D</w:t>
      </w:r>
      <w:r>
        <w:t>epartment of Work and Pensions (2012)</w:t>
      </w:r>
      <w:r>
        <w:t xml:space="preserve"> </w:t>
      </w:r>
      <w:r w:rsidRPr="00FE113A">
        <w:rPr>
          <w:i/>
        </w:rPr>
        <w:t>How can we incentivise pension saving? A behavioural perspective</w:t>
      </w:r>
    </w:p>
  </w:footnote>
  <w:footnote w:id="16">
    <w:p w:rsidR="00A43726" w:rsidRDefault="00A43726" w:rsidP="00471F57">
      <w:pPr>
        <w:pStyle w:val="FootnoteText"/>
        <w:spacing w:after="60"/>
      </w:pPr>
      <w:r>
        <w:rPr>
          <w:rStyle w:val="FootnoteReference"/>
        </w:rPr>
        <w:footnoteRef/>
      </w:r>
      <w:r>
        <w:t xml:space="preserve"> </w:t>
      </w:r>
      <w:r>
        <w:t xml:space="preserve">Summers (2013) </w:t>
      </w:r>
      <w:r w:rsidRPr="00A43726">
        <w:rPr>
          <w:i/>
        </w:rPr>
        <w:t>In Australia, Retirement Saving Done Right</w:t>
      </w:r>
      <w:r>
        <w:t xml:space="preserve"> Bloomberg</w:t>
      </w:r>
    </w:p>
  </w:footnote>
  <w:footnote w:id="17">
    <w:p w:rsidR="00A43726" w:rsidRDefault="00A43726" w:rsidP="00471F57">
      <w:pPr>
        <w:pStyle w:val="FootnoteText"/>
        <w:spacing w:after="60"/>
      </w:pPr>
      <w:r>
        <w:rPr>
          <w:rStyle w:val="FootnoteReference"/>
        </w:rPr>
        <w:footnoteRef/>
      </w:r>
      <w:r>
        <w:t xml:space="preserve"> </w:t>
      </w:r>
      <w:r>
        <w:t xml:space="preserve">Agnew (2013) </w:t>
      </w:r>
      <w:r w:rsidRPr="00A43726">
        <w:rPr>
          <w:i/>
        </w:rPr>
        <w:t>Australia’s Retirement System: Strengths, Weaknesses, and Reforms</w:t>
      </w:r>
      <w:r>
        <w:t xml:space="preserve"> Centre for Retirement </w:t>
      </w:r>
      <w:r>
        <w:br/>
        <w:t xml:space="preserve">    </w:t>
      </w:r>
      <w:r>
        <w:t>Research at Boston College</w:t>
      </w:r>
    </w:p>
  </w:footnote>
  <w:footnote w:id="18">
    <w:p w:rsidR="009B356B" w:rsidRDefault="009B356B" w:rsidP="00471F57">
      <w:pPr>
        <w:pStyle w:val="FootnoteText"/>
        <w:spacing w:after="60"/>
      </w:pPr>
      <w:r>
        <w:rPr>
          <w:rStyle w:val="FootnoteReference"/>
        </w:rPr>
        <w:footnoteRef/>
      </w:r>
      <w:r>
        <w:t xml:space="preserve"> </w:t>
      </w:r>
      <w:proofErr w:type="spellStart"/>
      <w:r>
        <w:t>Scheiwe</w:t>
      </w:r>
      <w:proofErr w:type="spellEnd"/>
      <w:r>
        <w:t xml:space="preserve"> (1999) </w:t>
      </w:r>
      <w:r w:rsidRPr="009B356B">
        <w:rPr>
          <w:i/>
        </w:rPr>
        <w:t>Why Australia’s pension system is not a good international model</w:t>
      </w:r>
      <w:r>
        <w:t xml:space="preserve"> </w:t>
      </w:r>
      <w:proofErr w:type="spellStart"/>
      <w:r>
        <w:t>Bunhill</w:t>
      </w:r>
      <w:proofErr w:type="spellEnd"/>
      <w:r>
        <w:t xml:space="preserve"> Row London</w:t>
      </w:r>
    </w:p>
  </w:footnote>
  <w:footnote w:id="19">
    <w:p w:rsidR="00CB72F1" w:rsidRDefault="00CB72F1" w:rsidP="00471F57">
      <w:pPr>
        <w:pStyle w:val="FootnoteText"/>
        <w:spacing w:after="60"/>
      </w:pPr>
      <w:r>
        <w:rPr>
          <w:rStyle w:val="FootnoteReference"/>
        </w:rPr>
        <w:footnoteRef/>
      </w:r>
      <w:r>
        <w:t xml:space="preserve"> </w:t>
      </w:r>
      <w:r>
        <w:t xml:space="preserve">Sandler (2002) </w:t>
      </w:r>
      <w:r w:rsidRPr="00CB72F1">
        <w:rPr>
          <w:i/>
        </w:rPr>
        <w:t>Sandler Review: Medium and Long-Term Retail Savings in the UK</w:t>
      </w:r>
    </w:p>
  </w:footnote>
  <w:footnote w:id="20">
    <w:p w:rsidR="00CB72F1" w:rsidRDefault="00CB72F1" w:rsidP="00471F57">
      <w:pPr>
        <w:pStyle w:val="FootnoteText"/>
        <w:spacing w:after="60"/>
      </w:pPr>
      <w:r>
        <w:rPr>
          <w:rStyle w:val="FootnoteReference"/>
        </w:rPr>
        <w:footnoteRef/>
      </w:r>
      <w:r>
        <w:t xml:space="preserve"> HM Treasury (2016)</w:t>
      </w:r>
      <w:r>
        <w:t xml:space="preserve"> </w:t>
      </w:r>
      <w:r w:rsidRPr="00CB72F1">
        <w:rPr>
          <w:i/>
        </w:rPr>
        <w:t xml:space="preserve">Strengthening the incentive to save: summary of responses to the consultation on </w:t>
      </w:r>
      <w:r>
        <w:rPr>
          <w:i/>
        </w:rPr>
        <w:br/>
        <w:t xml:space="preserve">  </w:t>
      </w:r>
      <w:r w:rsidR="007E4AB4">
        <w:rPr>
          <w:i/>
        </w:rPr>
        <w:t xml:space="preserve"> </w:t>
      </w:r>
      <w:r>
        <w:rPr>
          <w:i/>
        </w:rPr>
        <w:t xml:space="preserve"> </w:t>
      </w:r>
      <w:r w:rsidRPr="00CB72F1">
        <w:rPr>
          <w:i/>
        </w:rPr>
        <w:t>pensions tax relief</w:t>
      </w:r>
    </w:p>
  </w:footnote>
  <w:footnote w:id="21">
    <w:p w:rsidR="007E4AB4" w:rsidRDefault="007E4AB4" w:rsidP="00471F57">
      <w:pPr>
        <w:pStyle w:val="FootnoteText"/>
        <w:spacing w:after="60"/>
      </w:pPr>
      <w:r>
        <w:rPr>
          <w:rStyle w:val="FootnoteReference"/>
        </w:rPr>
        <w:footnoteRef/>
      </w:r>
      <w:r>
        <w:t xml:space="preserve"> </w:t>
      </w:r>
      <w:proofErr w:type="spellStart"/>
      <w:r>
        <w:t>Chetty</w:t>
      </w:r>
      <w:proofErr w:type="spellEnd"/>
      <w:r>
        <w:t xml:space="preserve">, Friedman, </w:t>
      </w:r>
      <w:proofErr w:type="spellStart"/>
      <w:r>
        <w:t>Leth</w:t>
      </w:r>
      <w:proofErr w:type="spellEnd"/>
      <w:r>
        <w:t xml:space="preserve">-Petersen, Nielsen, Olsen (2014) </w:t>
      </w:r>
      <w:r w:rsidRPr="007E4AB4">
        <w:rPr>
          <w:i/>
        </w:rPr>
        <w:t>Active vs Passive Decisions and Crowd-Out in</w:t>
      </w:r>
      <w:r>
        <w:rPr>
          <w:i/>
        </w:rPr>
        <w:br/>
        <w:t xml:space="preserve">  </w:t>
      </w:r>
      <w:r w:rsidRPr="007E4AB4">
        <w:rPr>
          <w:i/>
        </w:rPr>
        <w:t xml:space="preserve"> Retirement Savings Accounts: Evidence from Denmark</w:t>
      </w:r>
      <w:r>
        <w:t>, Q J Econ 129 (3): 1141-1219, Oxford University Press</w:t>
      </w:r>
    </w:p>
  </w:footnote>
  <w:footnote w:id="22">
    <w:p w:rsidR="0072511B" w:rsidRDefault="0072511B" w:rsidP="00471F57">
      <w:pPr>
        <w:pStyle w:val="FootnoteText"/>
        <w:spacing w:after="60"/>
      </w:pPr>
      <w:r>
        <w:rPr>
          <w:rStyle w:val="FootnoteReference"/>
        </w:rPr>
        <w:footnoteRef/>
      </w:r>
      <w:r>
        <w:t xml:space="preserve"> </w:t>
      </w:r>
      <w:proofErr w:type="spellStart"/>
      <w:r>
        <w:t>Benartzi</w:t>
      </w:r>
      <w:proofErr w:type="spellEnd"/>
      <w:r>
        <w:t xml:space="preserve">, S., </w:t>
      </w:r>
      <w:proofErr w:type="spellStart"/>
      <w:r>
        <w:t>Thaler</w:t>
      </w:r>
      <w:proofErr w:type="spellEnd"/>
      <w:r>
        <w:t xml:space="preserve">, R. H. (2004) </w:t>
      </w:r>
      <w:r w:rsidRPr="0072511B">
        <w:rPr>
          <w:i/>
        </w:rPr>
        <w:t xml:space="preserve">Save More Tomorrow: Using </w:t>
      </w:r>
      <w:proofErr w:type="spellStart"/>
      <w:r w:rsidRPr="0072511B">
        <w:rPr>
          <w:i/>
        </w:rPr>
        <w:t>Behavioral</w:t>
      </w:r>
      <w:proofErr w:type="spellEnd"/>
      <w:r w:rsidRPr="0072511B">
        <w:rPr>
          <w:i/>
        </w:rPr>
        <w:t xml:space="preserve"> Economics to Increase Employee</w:t>
      </w:r>
      <w:r>
        <w:rPr>
          <w:i/>
        </w:rPr>
        <w:br/>
        <w:t xml:space="preserve">  </w:t>
      </w:r>
      <w:r w:rsidRPr="0072511B">
        <w:rPr>
          <w:i/>
        </w:rPr>
        <w:t xml:space="preserve"> Saving</w:t>
      </w:r>
      <w:r>
        <w:t xml:space="preserve"> Journal of Political Economy, Vol 112, No. 1, pp S164-S187, USA, University of Chicago</w:t>
      </w:r>
    </w:p>
  </w:footnote>
  <w:footnote w:id="23">
    <w:p w:rsidR="0072511B" w:rsidRDefault="0072511B" w:rsidP="00471F57">
      <w:pPr>
        <w:pStyle w:val="FootnoteText"/>
        <w:spacing w:after="60"/>
      </w:pPr>
      <w:r>
        <w:rPr>
          <w:rStyle w:val="FootnoteReference"/>
        </w:rPr>
        <w:footnoteRef/>
      </w:r>
      <w:r>
        <w:t xml:space="preserve"> </w:t>
      </w:r>
      <w:proofErr w:type="spellStart"/>
      <w:r>
        <w:t>Laibson</w:t>
      </w:r>
      <w:proofErr w:type="spellEnd"/>
      <w:r>
        <w:t>, D. (1997</w:t>
      </w:r>
      <w:r w:rsidRPr="0072511B">
        <w:rPr>
          <w:i/>
        </w:rPr>
        <w:t>) Golden Eggs and Hyperbolic Discounting</w:t>
      </w:r>
      <w:r>
        <w:t xml:space="preserve"> The Quarterly Journal of Economics (1997) 112 </w:t>
      </w:r>
      <w:r>
        <w:br/>
        <w:t xml:space="preserve">   </w:t>
      </w:r>
      <w:r>
        <w:t>(2): 443-478, Oxford, Oxford University Press</w:t>
      </w:r>
    </w:p>
  </w:footnote>
  <w:footnote w:id="24">
    <w:p w:rsidR="0072511B" w:rsidRDefault="0072511B" w:rsidP="00471F57">
      <w:pPr>
        <w:pStyle w:val="FootnoteText"/>
        <w:spacing w:after="60"/>
      </w:pPr>
      <w:r>
        <w:rPr>
          <w:rStyle w:val="FootnoteReference"/>
        </w:rPr>
        <w:footnoteRef/>
      </w:r>
      <w:r>
        <w:t xml:space="preserve"> </w:t>
      </w:r>
      <w:proofErr w:type="spellStart"/>
      <w:r>
        <w:t>Thaler</w:t>
      </w:r>
      <w:proofErr w:type="spellEnd"/>
      <w:r>
        <w:t xml:space="preserve">, R., </w:t>
      </w:r>
      <w:proofErr w:type="spellStart"/>
      <w:r>
        <w:t>Sunstein</w:t>
      </w:r>
      <w:proofErr w:type="spellEnd"/>
      <w:r>
        <w:t>, C. (2009)</w:t>
      </w:r>
      <w:r>
        <w:t xml:space="preserve"> </w:t>
      </w:r>
      <w:r w:rsidRPr="0072511B">
        <w:rPr>
          <w:i/>
        </w:rPr>
        <w:t>Nudge: Improving Decisions About Health, Wealth and Happiness</w:t>
      </w:r>
      <w:r>
        <w:t xml:space="preserve"> London, </w:t>
      </w:r>
      <w:r>
        <w:br/>
        <w:t xml:space="preserve">    </w:t>
      </w:r>
      <w:r>
        <w:t>Penguin Books</w:t>
      </w:r>
    </w:p>
  </w:footnote>
  <w:footnote w:id="25">
    <w:p w:rsidR="0072511B" w:rsidRDefault="0072511B" w:rsidP="00471F57">
      <w:pPr>
        <w:pStyle w:val="FootnoteText"/>
        <w:spacing w:after="60"/>
      </w:pPr>
      <w:r>
        <w:rPr>
          <w:rStyle w:val="FootnoteReference"/>
        </w:rPr>
        <w:footnoteRef/>
      </w:r>
      <w:r>
        <w:t xml:space="preserve"> </w:t>
      </w:r>
      <w:proofErr w:type="spellStart"/>
      <w:r>
        <w:t>K</w:t>
      </w:r>
      <w:r>
        <w:t>ahneman</w:t>
      </w:r>
      <w:proofErr w:type="spellEnd"/>
      <w:r>
        <w:t xml:space="preserve">, D., </w:t>
      </w:r>
      <w:proofErr w:type="spellStart"/>
      <w:r>
        <w:t>Tversy</w:t>
      </w:r>
      <w:proofErr w:type="spellEnd"/>
      <w:r>
        <w:t xml:space="preserve">, A. (1979) </w:t>
      </w:r>
      <w:r w:rsidRPr="0072511B">
        <w:rPr>
          <w:i/>
        </w:rPr>
        <w:t>Prospect Theory: An analysis of decisions under risk</w:t>
      </w:r>
      <w:r>
        <w:t xml:space="preserve"> </w:t>
      </w:r>
      <w:proofErr w:type="spellStart"/>
      <w:r>
        <w:t>Econometrica</w:t>
      </w:r>
      <w:proofErr w:type="spellEnd"/>
      <w:r>
        <w:t xml:space="preserve">, Vol. 47, </w:t>
      </w:r>
      <w:r>
        <w:br/>
        <w:t xml:space="preserve">    </w:t>
      </w:r>
      <w:r>
        <w:t>No. 2. pp. 263-292, Malden USA, Wiley</w:t>
      </w:r>
      <w:bookmarkStart w:id="12" w:name="_GoBack"/>
      <w:bookmarkEnd w:id="12"/>
    </w:p>
  </w:footnote>
  <w:footnote w:id="26">
    <w:p w:rsidR="00EA3048" w:rsidRDefault="00EA3048">
      <w:pPr>
        <w:pStyle w:val="FootnoteText"/>
      </w:pPr>
      <w:r>
        <w:rPr>
          <w:rStyle w:val="FootnoteReference"/>
        </w:rPr>
        <w:footnoteRef/>
      </w:r>
      <w:r>
        <w:t xml:space="preserve"> </w:t>
      </w:r>
      <w:r>
        <w:t xml:space="preserve">Department for Work and Pensions (2012) </w:t>
      </w:r>
      <w:r w:rsidRPr="00EA3048">
        <w:rPr>
          <w:i/>
        </w:rPr>
        <w:t xml:space="preserve">Extending working life: </w:t>
      </w:r>
      <w:r w:rsidRPr="00EA3048">
        <w:rPr>
          <w:i/>
        </w:rPr>
        <w:t>Behaviour change interventions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58C" w:rsidRDefault="004A3582">
    <w:pPr>
      <w:pStyle w:val="Header"/>
    </w:pPr>
    <w:r>
      <w:rPr>
        <w:noProof/>
        <w:lang w:eastAsia="en-GB"/>
      </w:rPr>
      <w:drawing>
        <wp:anchor distT="0" distB="0" distL="114300" distR="114300" simplePos="0" relativeHeight="251658240" behindDoc="1" locked="0" layoutInCell="1" allowOverlap="1" wp14:anchorId="152BDAC5" wp14:editId="4E74777B">
          <wp:simplePos x="0" y="0"/>
          <wp:positionH relativeFrom="column">
            <wp:posOffset>-914400</wp:posOffset>
          </wp:positionH>
          <wp:positionV relativeFrom="paragraph">
            <wp:posOffset>-450215</wp:posOffset>
          </wp:positionV>
          <wp:extent cx="7560527" cy="10692746"/>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blue word cover.wmf"/>
                  <pic:cNvPicPr/>
                </pic:nvPicPr>
                <pic:blipFill rotWithShape="1">
                  <a:blip r:embed="rId1" cstate="print">
                    <a:extLst>
                      <a:ext uri="{28A0092B-C50C-407E-A947-70E740481C1C}">
                        <a14:useLocalDpi xmlns:a14="http://schemas.microsoft.com/office/drawing/2010/main" val="0"/>
                      </a:ext>
                    </a:extLst>
                  </a:blip>
                  <a:srcRect l="-23" t="-23" r="-23" b="-23"/>
                  <a:stretch/>
                </pic:blipFill>
                <pic:spPr bwMode="auto">
                  <a:xfrm>
                    <a:off x="0" y="0"/>
                    <a:ext cx="7563410" cy="106968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50DB5"/>
    <w:multiLevelType w:val="hybridMultilevel"/>
    <w:tmpl w:val="F7A882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C7769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D63ABB"/>
    <w:multiLevelType w:val="hybridMultilevel"/>
    <w:tmpl w:val="749CF5E4"/>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FE12709"/>
    <w:multiLevelType w:val="hybridMultilevel"/>
    <w:tmpl w:val="71DC8CD2"/>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2990EA8"/>
    <w:multiLevelType w:val="hybridMultilevel"/>
    <w:tmpl w:val="089A35F8"/>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C2D07FD"/>
    <w:multiLevelType w:val="multilevel"/>
    <w:tmpl w:val="283E16D8"/>
    <w:lvl w:ilvl="0">
      <w:start w:val="1"/>
      <w:numFmt w:val="bullet"/>
      <w:lvlText w:val=""/>
      <w:lvlJc w:val="left"/>
      <w:pPr>
        <w:ind w:left="927" w:hanging="360"/>
      </w:pPr>
      <w:rPr>
        <w:rFonts w:ascii="Symbol" w:hAnsi="Symbol" w:hint="default"/>
      </w:rPr>
    </w:lvl>
    <w:lvl w:ilvl="1">
      <w:start w:val="1"/>
      <w:numFmt w:val="bullet"/>
      <w:lvlText w:val=""/>
      <w:lvlJc w:val="left"/>
      <w:pPr>
        <w:ind w:left="1359" w:hanging="432"/>
      </w:pPr>
      <w:rPr>
        <w:rFonts w:ascii="Symbol" w:hAnsi="Symbol" w:hint="default"/>
      </w:rPr>
    </w:lvl>
    <w:lvl w:ilvl="2">
      <w:start w:val="1"/>
      <w:numFmt w:val="bullet"/>
      <w:lvlText w:val=""/>
      <w:lvlJc w:val="left"/>
      <w:pPr>
        <w:ind w:left="1791" w:hanging="504"/>
      </w:pPr>
      <w:rPr>
        <w:rFonts w:ascii="Symbol" w:hAnsi="Symbol" w:hint="default"/>
      </w:rPr>
    </w:lvl>
    <w:lvl w:ilvl="3">
      <w:start w:val="1"/>
      <w:numFmt w:val="bullet"/>
      <w:lvlText w:val=""/>
      <w:lvlJc w:val="left"/>
      <w:pPr>
        <w:ind w:left="2295" w:hanging="648"/>
      </w:pPr>
      <w:rPr>
        <w:rFonts w:ascii="Symbol" w:hAnsi="Symbol" w:hint="default"/>
      </w:r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6" w15:restartNumberingAfterBreak="0">
    <w:nsid w:val="2C5E3B81"/>
    <w:multiLevelType w:val="hybridMultilevel"/>
    <w:tmpl w:val="F9DE82D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30FF5556"/>
    <w:multiLevelType w:val="hybridMultilevel"/>
    <w:tmpl w:val="100284AC"/>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2B50344"/>
    <w:multiLevelType w:val="hybridMultilevel"/>
    <w:tmpl w:val="D116EEE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54CC5503"/>
    <w:multiLevelType w:val="hybridMultilevel"/>
    <w:tmpl w:val="08E0F338"/>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67492A96"/>
    <w:multiLevelType w:val="multilevel"/>
    <w:tmpl w:val="283E16D8"/>
    <w:lvl w:ilvl="0">
      <w:start w:val="1"/>
      <w:numFmt w:val="bullet"/>
      <w:lvlText w:val=""/>
      <w:lvlJc w:val="left"/>
      <w:pPr>
        <w:ind w:left="927" w:hanging="360"/>
      </w:pPr>
      <w:rPr>
        <w:rFonts w:ascii="Symbol" w:hAnsi="Symbol" w:hint="default"/>
      </w:rPr>
    </w:lvl>
    <w:lvl w:ilvl="1">
      <w:start w:val="1"/>
      <w:numFmt w:val="bullet"/>
      <w:lvlText w:val=""/>
      <w:lvlJc w:val="left"/>
      <w:pPr>
        <w:ind w:left="1359" w:hanging="432"/>
      </w:pPr>
      <w:rPr>
        <w:rFonts w:ascii="Symbol" w:hAnsi="Symbol" w:hint="default"/>
      </w:rPr>
    </w:lvl>
    <w:lvl w:ilvl="2">
      <w:start w:val="1"/>
      <w:numFmt w:val="bullet"/>
      <w:lvlText w:val=""/>
      <w:lvlJc w:val="left"/>
      <w:pPr>
        <w:ind w:left="1791" w:hanging="504"/>
      </w:pPr>
      <w:rPr>
        <w:rFonts w:ascii="Symbol" w:hAnsi="Symbol" w:hint="default"/>
      </w:rPr>
    </w:lvl>
    <w:lvl w:ilvl="3">
      <w:start w:val="1"/>
      <w:numFmt w:val="bullet"/>
      <w:lvlText w:val=""/>
      <w:lvlJc w:val="left"/>
      <w:pPr>
        <w:ind w:left="2295" w:hanging="648"/>
      </w:pPr>
      <w:rPr>
        <w:rFonts w:ascii="Symbol" w:hAnsi="Symbol" w:hint="default"/>
      </w:r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1" w15:restartNumberingAfterBreak="0">
    <w:nsid w:val="719C4749"/>
    <w:multiLevelType w:val="hybridMultilevel"/>
    <w:tmpl w:val="C0201186"/>
    <w:lvl w:ilvl="0" w:tplc="7298ACD4">
      <w:start w:val="1"/>
      <w:numFmt w:val="decimal"/>
      <w:lvlText w:val="%1."/>
      <w:lvlJc w:val="left"/>
      <w:pPr>
        <w:ind w:left="2088" w:hanging="360"/>
      </w:pPr>
      <w:rPr>
        <w:rFonts w:hint="default"/>
      </w:rPr>
    </w:lvl>
    <w:lvl w:ilvl="1" w:tplc="08090019">
      <w:start w:val="1"/>
      <w:numFmt w:val="lowerLetter"/>
      <w:lvlText w:val="%2."/>
      <w:lvlJc w:val="left"/>
      <w:pPr>
        <w:ind w:left="2808" w:hanging="360"/>
      </w:pPr>
    </w:lvl>
    <w:lvl w:ilvl="2" w:tplc="0809001B" w:tentative="1">
      <w:start w:val="1"/>
      <w:numFmt w:val="lowerRoman"/>
      <w:lvlText w:val="%3."/>
      <w:lvlJc w:val="right"/>
      <w:pPr>
        <w:ind w:left="3528" w:hanging="180"/>
      </w:pPr>
    </w:lvl>
    <w:lvl w:ilvl="3" w:tplc="0809000F" w:tentative="1">
      <w:start w:val="1"/>
      <w:numFmt w:val="decimal"/>
      <w:lvlText w:val="%4."/>
      <w:lvlJc w:val="left"/>
      <w:pPr>
        <w:ind w:left="4248" w:hanging="360"/>
      </w:pPr>
    </w:lvl>
    <w:lvl w:ilvl="4" w:tplc="08090019" w:tentative="1">
      <w:start w:val="1"/>
      <w:numFmt w:val="lowerLetter"/>
      <w:lvlText w:val="%5."/>
      <w:lvlJc w:val="left"/>
      <w:pPr>
        <w:ind w:left="4968" w:hanging="360"/>
      </w:pPr>
    </w:lvl>
    <w:lvl w:ilvl="5" w:tplc="0809001B" w:tentative="1">
      <w:start w:val="1"/>
      <w:numFmt w:val="lowerRoman"/>
      <w:lvlText w:val="%6."/>
      <w:lvlJc w:val="right"/>
      <w:pPr>
        <w:ind w:left="5688" w:hanging="180"/>
      </w:pPr>
    </w:lvl>
    <w:lvl w:ilvl="6" w:tplc="0809000F" w:tentative="1">
      <w:start w:val="1"/>
      <w:numFmt w:val="decimal"/>
      <w:lvlText w:val="%7."/>
      <w:lvlJc w:val="left"/>
      <w:pPr>
        <w:ind w:left="6408" w:hanging="360"/>
      </w:pPr>
    </w:lvl>
    <w:lvl w:ilvl="7" w:tplc="08090019" w:tentative="1">
      <w:start w:val="1"/>
      <w:numFmt w:val="lowerLetter"/>
      <w:lvlText w:val="%8."/>
      <w:lvlJc w:val="left"/>
      <w:pPr>
        <w:ind w:left="7128" w:hanging="360"/>
      </w:pPr>
    </w:lvl>
    <w:lvl w:ilvl="8" w:tplc="0809001B" w:tentative="1">
      <w:start w:val="1"/>
      <w:numFmt w:val="lowerRoman"/>
      <w:lvlText w:val="%9."/>
      <w:lvlJc w:val="right"/>
      <w:pPr>
        <w:ind w:left="7848" w:hanging="180"/>
      </w:pPr>
    </w:lvl>
  </w:abstractNum>
  <w:num w:numId="1">
    <w:abstractNumId w:val="1"/>
  </w:num>
  <w:num w:numId="2">
    <w:abstractNumId w:val="7"/>
  </w:num>
  <w:num w:numId="3">
    <w:abstractNumId w:val="0"/>
  </w:num>
  <w:num w:numId="4">
    <w:abstractNumId w:val="11"/>
  </w:num>
  <w:num w:numId="5">
    <w:abstractNumId w:val="2"/>
  </w:num>
  <w:num w:numId="6">
    <w:abstractNumId w:val="3"/>
  </w:num>
  <w:num w:numId="7">
    <w:abstractNumId w:val="9"/>
  </w:num>
  <w:num w:numId="8">
    <w:abstractNumId w:val="4"/>
  </w:num>
  <w:num w:numId="9">
    <w:abstractNumId w:val="5"/>
  </w:num>
  <w:num w:numId="10">
    <w:abstractNumId w:val="1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96"/>
    <w:rsid w:val="00000454"/>
    <w:rsid w:val="00065959"/>
    <w:rsid w:val="00075F55"/>
    <w:rsid w:val="000869FE"/>
    <w:rsid w:val="000C4C2B"/>
    <w:rsid w:val="000F7E8F"/>
    <w:rsid w:val="0011676B"/>
    <w:rsid w:val="00180245"/>
    <w:rsid w:val="0019646A"/>
    <w:rsid w:val="00201CE1"/>
    <w:rsid w:val="002356ED"/>
    <w:rsid w:val="00256EA4"/>
    <w:rsid w:val="00261000"/>
    <w:rsid w:val="00275AE2"/>
    <w:rsid w:val="002B64A7"/>
    <w:rsid w:val="002E48F5"/>
    <w:rsid w:val="00306B53"/>
    <w:rsid w:val="00361531"/>
    <w:rsid w:val="00404DA5"/>
    <w:rsid w:val="004538CE"/>
    <w:rsid w:val="00471F57"/>
    <w:rsid w:val="00476696"/>
    <w:rsid w:val="004A3582"/>
    <w:rsid w:val="004A7D4C"/>
    <w:rsid w:val="004E558C"/>
    <w:rsid w:val="00563FF4"/>
    <w:rsid w:val="00585407"/>
    <w:rsid w:val="005C7588"/>
    <w:rsid w:val="006403CC"/>
    <w:rsid w:val="0072511B"/>
    <w:rsid w:val="00793CAC"/>
    <w:rsid w:val="007E4AB4"/>
    <w:rsid w:val="00807CB9"/>
    <w:rsid w:val="00816D94"/>
    <w:rsid w:val="008743ED"/>
    <w:rsid w:val="008B457F"/>
    <w:rsid w:val="008C2A15"/>
    <w:rsid w:val="00967E09"/>
    <w:rsid w:val="00974F91"/>
    <w:rsid w:val="009B356B"/>
    <w:rsid w:val="009E24AF"/>
    <w:rsid w:val="009F0A48"/>
    <w:rsid w:val="00A040E4"/>
    <w:rsid w:val="00A23BB5"/>
    <w:rsid w:val="00A43726"/>
    <w:rsid w:val="00A726D3"/>
    <w:rsid w:val="00AA0BFE"/>
    <w:rsid w:val="00B97010"/>
    <w:rsid w:val="00C02290"/>
    <w:rsid w:val="00CB72F1"/>
    <w:rsid w:val="00CC45F4"/>
    <w:rsid w:val="00D0143C"/>
    <w:rsid w:val="00D47F37"/>
    <w:rsid w:val="00D63F0D"/>
    <w:rsid w:val="00D7207C"/>
    <w:rsid w:val="00D74B3C"/>
    <w:rsid w:val="00DC7DD7"/>
    <w:rsid w:val="00DF727D"/>
    <w:rsid w:val="00E72230"/>
    <w:rsid w:val="00E93977"/>
    <w:rsid w:val="00EA3048"/>
    <w:rsid w:val="00EE1CE5"/>
    <w:rsid w:val="00F74305"/>
    <w:rsid w:val="00F87758"/>
    <w:rsid w:val="00FB1EA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EA6284-7398-42D5-A411-4F3CE5D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531"/>
  </w:style>
  <w:style w:type="paragraph" w:styleId="Footer">
    <w:name w:val="footer"/>
    <w:basedOn w:val="Normal"/>
    <w:link w:val="FooterChar"/>
    <w:uiPriority w:val="99"/>
    <w:unhideWhenUsed/>
    <w:rsid w:val="00361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531"/>
  </w:style>
  <w:style w:type="paragraph" w:styleId="BalloonText">
    <w:name w:val="Balloon Text"/>
    <w:basedOn w:val="Normal"/>
    <w:link w:val="BalloonTextChar"/>
    <w:uiPriority w:val="99"/>
    <w:semiHidden/>
    <w:unhideWhenUsed/>
    <w:rsid w:val="00361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31"/>
    <w:rPr>
      <w:rFonts w:ascii="Tahoma" w:hAnsi="Tahoma" w:cs="Tahoma"/>
      <w:sz w:val="16"/>
      <w:szCs w:val="16"/>
    </w:rPr>
  </w:style>
  <w:style w:type="table" w:styleId="TableGrid">
    <w:name w:val="Table Grid"/>
    <w:basedOn w:val="TableNormal"/>
    <w:uiPriority w:val="59"/>
    <w:rsid w:val="00361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FOAofficesubtitlesCoverstyles">
    <w:name w:val="IFOA office sub titles (Cover styles)"/>
    <w:basedOn w:val="Normal"/>
    <w:link w:val="IFOAofficesubtitlesCoverstylesChar"/>
    <w:uiPriority w:val="99"/>
    <w:rsid w:val="00404DA5"/>
    <w:pPr>
      <w:autoSpaceDE w:val="0"/>
      <w:autoSpaceDN w:val="0"/>
      <w:adjustRightInd w:val="0"/>
      <w:spacing w:before="113" w:after="57" w:line="250" w:lineRule="atLeast"/>
      <w:textAlignment w:val="center"/>
    </w:pPr>
    <w:rPr>
      <w:rFonts w:ascii="Gotham Bold" w:hAnsi="Gotham Bold" w:cs="Gotham Bold"/>
      <w:b/>
      <w:bCs/>
      <w:color w:val="FFFFFF"/>
      <w:sz w:val="19"/>
      <w:szCs w:val="19"/>
    </w:rPr>
  </w:style>
  <w:style w:type="paragraph" w:customStyle="1" w:styleId="IFOAaddresscontactdetailsCoverstyles">
    <w:name w:val="IFOA address &amp; contact details (Cover styles)"/>
    <w:basedOn w:val="Normal"/>
    <w:link w:val="IFOAaddresscontactdetailsCoverstylesChar"/>
    <w:uiPriority w:val="99"/>
    <w:rsid w:val="00404DA5"/>
    <w:pPr>
      <w:tabs>
        <w:tab w:val="left" w:pos="198"/>
      </w:tabs>
      <w:suppressAutoHyphens/>
      <w:autoSpaceDE w:val="0"/>
      <w:autoSpaceDN w:val="0"/>
      <w:adjustRightInd w:val="0"/>
      <w:spacing w:after="170" w:line="220" w:lineRule="atLeast"/>
      <w:textAlignment w:val="center"/>
    </w:pPr>
    <w:rPr>
      <w:rFonts w:ascii="Gotham Narrow Book" w:hAnsi="Gotham Narrow Book" w:cs="Gotham Narrow Book"/>
      <w:color w:val="FFFFFF"/>
      <w:sz w:val="17"/>
      <w:szCs w:val="17"/>
    </w:rPr>
  </w:style>
  <w:style w:type="character" w:customStyle="1" w:styleId="IFOAofficesubtitlesCoverstylesChar">
    <w:name w:val="IFOA office sub titles (Cover styles) Char"/>
    <w:basedOn w:val="DefaultParagraphFont"/>
    <w:link w:val="IFOAofficesubtitlesCoverstyles"/>
    <w:uiPriority w:val="99"/>
    <w:rsid w:val="00404DA5"/>
    <w:rPr>
      <w:rFonts w:ascii="Gotham Bold" w:hAnsi="Gotham Bold" w:cs="Gotham Bold"/>
      <w:b/>
      <w:bCs/>
      <w:color w:val="FFFFFF"/>
      <w:sz w:val="19"/>
      <w:szCs w:val="19"/>
    </w:rPr>
  </w:style>
  <w:style w:type="character" w:customStyle="1" w:styleId="IFOAaddresscontactdetailsCoverstylesChar">
    <w:name w:val="IFOA address &amp; contact details (Cover styles) Char"/>
    <w:basedOn w:val="DefaultParagraphFont"/>
    <w:link w:val="IFOAaddresscontactdetailsCoverstyles"/>
    <w:uiPriority w:val="99"/>
    <w:rsid w:val="00404DA5"/>
    <w:rPr>
      <w:rFonts w:ascii="Gotham Narrow Book" w:hAnsi="Gotham Narrow Book" w:cs="Gotham Narrow Book"/>
      <w:color w:val="FFFFFF"/>
      <w:sz w:val="17"/>
      <w:szCs w:val="17"/>
    </w:rPr>
  </w:style>
  <w:style w:type="paragraph" w:customStyle="1" w:styleId="CityName">
    <w:name w:val="City Name"/>
    <w:basedOn w:val="Normal"/>
    <w:link w:val="CityNameChar"/>
    <w:qFormat/>
    <w:rsid w:val="00404DA5"/>
    <w:pPr>
      <w:framePr w:hSpace="180" w:wrap="around" w:vAnchor="page" w:hAnchor="margin" w:x="398" w:y="3320"/>
      <w:autoSpaceDE w:val="0"/>
      <w:autoSpaceDN w:val="0"/>
      <w:adjustRightInd w:val="0"/>
      <w:spacing w:before="113" w:after="57" w:line="250" w:lineRule="atLeast"/>
      <w:textAlignment w:val="center"/>
    </w:pPr>
    <w:rPr>
      <w:rFonts w:ascii="Arial" w:hAnsi="Arial" w:cs="Arial"/>
      <w:b/>
      <w:bCs/>
      <w:color w:val="FFFFFF"/>
      <w:sz w:val="19"/>
      <w:szCs w:val="19"/>
    </w:rPr>
  </w:style>
  <w:style w:type="paragraph" w:customStyle="1" w:styleId="CityAddress">
    <w:name w:val="City Address"/>
    <w:basedOn w:val="Normal"/>
    <w:link w:val="CityAddressChar"/>
    <w:qFormat/>
    <w:rsid w:val="00404DA5"/>
    <w:pPr>
      <w:framePr w:hSpace="180" w:wrap="around" w:vAnchor="page" w:hAnchor="margin" w:x="398" w:y="3320"/>
      <w:tabs>
        <w:tab w:val="left" w:pos="198"/>
      </w:tabs>
      <w:suppressAutoHyphens/>
      <w:autoSpaceDE w:val="0"/>
      <w:autoSpaceDN w:val="0"/>
      <w:adjustRightInd w:val="0"/>
      <w:spacing w:after="170" w:line="220" w:lineRule="atLeast"/>
      <w:textAlignment w:val="center"/>
    </w:pPr>
    <w:rPr>
      <w:rFonts w:ascii="Arial" w:hAnsi="Arial" w:cs="Arial"/>
      <w:color w:val="FFFFFF"/>
      <w:sz w:val="17"/>
      <w:szCs w:val="17"/>
    </w:rPr>
  </w:style>
  <w:style w:type="character" w:customStyle="1" w:styleId="CityNameChar">
    <w:name w:val="City Name Char"/>
    <w:basedOn w:val="DefaultParagraphFont"/>
    <w:link w:val="CityName"/>
    <w:rsid w:val="00404DA5"/>
    <w:rPr>
      <w:rFonts w:ascii="Arial" w:hAnsi="Arial" w:cs="Arial"/>
      <w:b/>
      <w:bCs/>
      <w:color w:val="FFFFFF"/>
      <w:sz w:val="19"/>
      <w:szCs w:val="19"/>
    </w:rPr>
  </w:style>
  <w:style w:type="character" w:customStyle="1" w:styleId="CityAddressChar">
    <w:name w:val="City Address Char"/>
    <w:basedOn w:val="DefaultParagraphFont"/>
    <w:link w:val="CityAddress"/>
    <w:rsid w:val="00404DA5"/>
    <w:rPr>
      <w:rFonts w:ascii="Arial" w:hAnsi="Arial" w:cs="Arial"/>
      <w:color w:val="FFFFFF"/>
      <w:sz w:val="17"/>
      <w:szCs w:val="17"/>
    </w:rPr>
  </w:style>
  <w:style w:type="paragraph" w:customStyle="1" w:styleId="backcoverbodycopy">
    <w:name w:val="back cover bodycopy"/>
    <w:basedOn w:val="Normal"/>
    <w:link w:val="backcoverbodycopyChar"/>
    <w:qFormat/>
    <w:rsid w:val="00404DA5"/>
    <w:pPr>
      <w:framePr w:hSpace="180" w:wrap="around" w:vAnchor="page" w:hAnchor="margin" w:x="398" w:y="3320"/>
      <w:spacing w:after="0" w:line="250" w:lineRule="exact"/>
    </w:pPr>
    <w:rPr>
      <w:rFonts w:ascii="Arial" w:hAnsi="Arial" w:cs="Arial"/>
      <w:color w:val="FFFFFF" w:themeColor="background1"/>
      <w:sz w:val="20"/>
      <w:szCs w:val="20"/>
    </w:rPr>
  </w:style>
  <w:style w:type="character" w:customStyle="1" w:styleId="backcoverbodycopyChar">
    <w:name w:val="back cover bodycopy Char"/>
    <w:basedOn w:val="DefaultParagraphFont"/>
    <w:link w:val="backcoverbodycopy"/>
    <w:rsid w:val="00404DA5"/>
    <w:rPr>
      <w:rFonts w:ascii="Arial" w:hAnsi="Arial" w:cs="Arial"/>
      <w:color w:val="FFFFFF" w:themeColor="background1"/>
      <w:sz w:val="20"/>
      <w:szCs w:val="20"/>
    </w:rPr>
  </w:style>
  <w:style w:type="character" w:styleId="Hyperlink">
    <w:name w:val="Hyperlink"/>
    <w:basedOn w:val="DefaultParagraphFont"/>
    <w:uiPriority w:val="99"/>
    <w:unhideWhenUsed/>
    <w:rsid w:val="00404DA5"/>
    <w:rPr>
      <w:color w:val="0000FF" w:themeColor="hyperlink"/>
      <w:u w:val="single"/>
    </w:rPr>
  </w:style>
  <w:style w:type="paragraph" w:customStyle="1" w:styleId="Webaddress">
    <w:name w:val="Web address"/>
    <w:basedOn w:val="Normal"/>
    <w:link w:val="WebaddressChar"/>
    <w:qFormat/>
    <w:rsid w:val="00404DA5"/>
    <w:pPr>
      <w:suppressAutoHyphens/>
      <w:autoSpaceDE w:val="0"/>
      <w:autoSpaceDN w:val="0"/>
      <w:adjustRightInd w:val="0"/>
      <w:spacing w:after="0" w:line="170" w:lineRule="atLeast"/>
      <w:textAlignment w:val="center"/>
    </w:pPr>
    <w:rPr>
      <w:rFonts w:ascii="Arial" w:hAnsi="Arial" w:cs="Arial"/>
      <w:color w:val="FFFFFF"/>
      <w:sz w:val="36"/>
      <w:szCs w:val="36"/>
    </w:rPr>
  </w:style>
  <w:style w:type="character" w:customStyle="1" w:styleId="WebaddressChar">
    <w:name w:val="Web address Char"/>
    <w:basedOn w:val="DefaultParagraphFont"/>
    <w:link w:val="Webaddress"/>
    <w:rsid w:val="00404DA5"/>
    <w:rPr>
      <w:rFonts w:ascii="Arial" w:hAnsi="Arial" w:cs="Arial"/>
      <w:color w:val="FFFFFF"/>
      <w:sz w:val="36"/>
      <w:szCs w:val="36"/>
    </w:rPr>
  </w:style>
  <w:style w:type="paragraph" w:styleId="ListParagraph">
    <w:name w:val="List Paragraph"/>
    <w:basedOn w:val="Normal"/>
    <w:link w:val="ListParagraphChar"/>
    <w:uiPriority w:val="34"/>
    <w:qFormat/>
    <w:rsid w:val="002356ED"/>
    <w:pPr>
      <w:spacing w:after="160" w:line="259" w:lineRule="auto"/>
      <w:ind w:left="720"/>
      <w:contextualSpacing/>
    </w:pPr>
  </w:style>
  <w:style w:type="paragraph" w:styleId="EndnoteText">
    <w:name w:val="endnote text"/>
    <w:basedOn w:val="Normal"/>
    <w:link w:val="EndnoteTextChar"/>
    <w:uiPriority w:val="99"/>
    <w:unhideWhenUsed/>
    <w:rsid w:val="002356ED"/>
    <w:pPr>
      <w:spacing w:after="0" w:line="240" w:lineRule="auto"/>
    </w:pPr>
    <w:rPr>
      <w:sz w:val="20"/>
      <w:szCs w:val="20"/>
    </w:rPr>
  </w:style>
  <w:style w:type="character" w:customStyle="1" w:styleId="EndnoteTextChar">
    <w:name w:val="Endnote Text Char"/>
    <w:basedOn w:val="DefaultParagraphFont"/>
    <w:link w:val="EndnoteText"/>
    <w:uiPriority w:val="99"/>
    <w:rsid w:val="002356ED"/>
    <w:rPr>
      <w:sz w:val="20"/>
      <w:szCs w:val="20"/>
    </w:rPr>
  </w:style>
  <w:style w:type="character" w:styleId="EndnoteReference">
    <w:name w:val="endnote reference"/>
    <w:basedOn w:val="DefaultParagraphFont"/>
    <w:uiPriority w:val="99"/>
    <w:semiHidden/>
    <w:unhideWhenUsed/>
    <w:rsid w:val="002356ED"/>
    <w:rPr>
      <w:vertAlign w:val="superscript"/>
    </w:rPr>
  </w:style>
  <w:style w:type="character" w:customStyle="1" w:styleId="ListParagraphChar">
    <w:name w:val="List Paragraph Char"/>
    <w:basedOn w:val="DefaultParagraphFont"/>
    <w:link w:val="ListParagraph"/>
    <w:uiPriority w:val="34"/>
    <w:rsid w:val="002356ED"/>
  </w:style>
  <w:style w:type="paragraph" w:styleId="FootnoteText">
    <w:name w:val="footnote text"/>
    <w:basedOn w:val="Normal"/>
    <w:link w:val="FootnoteTextChar"/>
    <w:uiPriority w:val="99"/>
    <w:semiHidden/>
    <w:unhideWhenUsed/>
    <w:rsid w:val="002356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56ED"/>
    <w:rPr>
      <w:sz w:val="20"/>
      <w:szCs w:val="20"/>
    </w:rPr>
  </w:style>
  <w:style w:type="character" w:styleId="FootnoteReference">
    <w:name w:val="footnote reference"/>
    <w:basedOn w:val="DefaultParagraphFont"/>
    <w:uiPriority w:val="99"/>
    <w:semiHidden/>
    <w:unhideWhenUsed/>
    <w:rsid w:val="002356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tuari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Z:\Communities\Boards%20and%20Sub-Committees\REB\Working%20Parties\Pensions%20WP\IFoA_Research_paper_cover_front_and_back_V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B165D-B3A7-461C-8DA4-4B2618CC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IFoA_Research_paper_cover_front_and_back_V07</Template>
  <TotalTime>67</TotalTime>
  <Pages>12</Pages>
  <Words>4405</Words>
  <Characters>25113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IFoA</Company>
  <LinksUpToDate>false</LinksUpToDate>
  <CharactersWithSpaces>29460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Stephen Hyams</cp:lastModifiedBy>
  <cp:revision>23</cp:revision>
  <dcterms:created xsi:type="dcterms:W3CDTF">2017-09-24T17:35:00Z</dcterms:created>
  <dcterms:modified xsi:type="dcterms:W3CDTF">2017-09-24T18:50:00Z</dcterms:modified>
</cp:coreProperties>
</file>