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E2B1D0" w14:textId="6C30635F" w:rsidR="00CA62E3" w:rsidRPr="00126D6C" w:rsidRDefault="002206B9" w:rsidP="004956CA">
      <w:pPr>
        <w:pStyle w:val="Addressdetails"/>
        <w:framePr w:wrap="around" w:x="1441" w:y="2723"/>
        <w:spacing w:line="276" w:lineRule="auto"/>
        <w:rPr>
          <w:rFonts w:ascii="Arial" w:hAnsi="Arial" w:cs="Arial"/>
          <w:color w:val="auto"/>
          <w:sz w:val="20"/>
          <w:szCs w:val="20"/>
        </w:rPr>
      </w:pPr>
      <w:r w:rsidRPr="00126D6C">
        <w:rPr>
          <w:rFonts w:ascii="Arial" w:hAnsi="Arial" w:cs="Arial"/>
          <w:color w:val="auto"/>
          <w:sz w:val="20"/>
          <w:szCs w:val="20"/>
        </w:rPr>
        <w:t>Lord Patel</w:t>
      </w:r>
    </w:p>
    <w:p w14:paraId="65F11145" w14:textId="074EC221" w:rsidR="002206B9" w:rsidRPr="00126D6C" w:rsidRDefault="002206B9" w:rsidP="004956CA">
      <w:pPr>
        <w:pStyle w:val="Addressdetails"/>
        <w:framePr w:wrap="around" w:x="1441" w:y="2723"/>
        <w:spacing w:line="276" w:lineRule="auto"/>
        <w:rPr>
          <w:rFonts w:ascii="Arial" w:hAnsi="Arial" w:cs="Arial"/>
          <w:color w:val="auto"/>
          <w:sz w:val="20"/>
          <w:szCs w:val="20"/>
        </w:rPr>
      </w:pPr>
      <w:r w:rsidRPr="00126D6C">
        <w:rPr>
          <w:rFonts w:ascii="Arial" w:hAnsi="Arial" w:cs="Arial"/>
          <w:color w:val="auto"/>
          <w:sz w:val="20"/>
          <w:szCs w:val="20"/>
        </w:rPr>
        <w:t>Chair, Select Committee on the long-term sustainability of the NHS</w:t>
      </w:r>
    </w:p>
    <w:p w14:paraId="17613584" w14:textId="2CBD24EF" w:rsidR="002206B9" w:rsidRPr="00126D6C" w:rsidRDefault="002206B9" w:rsidP="004956CA">
      <w:pPr>
        <w:pStyle w:val="Addressdetails"/>
        <w:framePr w:wrap="around" w:x="1441" w:y="2723"/>
        <w:spacing w:line="276" w:lineRule="auto"/>
        <w:rPr>
          <w:rFonts w:ascii="Arial" w:hAnsi="Arial" w:cs="Arial"/>
          <w:color w:val="auto"/>
          <w:sz w:val="20"/>
          <w:szCs w:val="20"/>
        </w:rPr>
      </w:pPr>
      <w:r w:rsidRPr="00126D6C">
        <w:rPr>
          <w:rFonts w:ascii="Arial" w:hAnsi="Arial" w:cs="Arial"/>
          <w:color w:val="auto"/>
          <w:sz w:val="20"/>
          <w:szCs w:val="20"/>
        </w:rPr>
        <w:t>House of Lords</w:t>
      </w:r>
    </w:p>
    <w:p w14:paraId="6107759E" w14:textId="76382AED" w:rsidR="002206B9" w:rsidRPr="00126D6C" w:rsidRDefault="002206B9" w:rsidP="004956CA">
      <w:pPr>
        <w:pStyle w:val="Addressdetails"/>
        <w:framePr w:wrap="around" w:x="1441" w:y="2723"/>
        <w:spacing w:line="276" w:lineRule="auto"/>
        <w:rPr>
          <w:rFonts w:ascii="Arial" w:hAnsi="Arial" w:cs="Arial"/>
          <w:color w:val="auto"/>
          <w:sz w:val="20"/>
          <w:szCs w:val="20"/>
        </w:rPr>
      </w:pPr>
      <w:r w:rsidRPr="00126D6C">
        <w:rPr>
          <w:rFonts w:ascii="Arial" w:hAnsi="Arial" w:cs="Arial"/>
          <w:color w:val="auto"/>
          <w:sz w:val="20"/>
          <w:szCs w:val="20"/>
        </w:rPr>
        <w:t>Houses of Parliament</w:t>
      </w:r>
    </w:p>
    <w:p w14:paraId="737A0FCD" w14:textId="51EF366B" w:rsidR="002206B9" w:rsidRPr="00126D6C" w:rsidRDefault="002206B9" w:rsidP="004956CA">
      <w:pPr>
        <w:pStyle w:val="Addressdetails"/>
        <w:framePr w:wrap="around" w:x="1441" w:y="2723"/>
        <w:spacing w:line="276" w:lineRule="auto"/>
        <w:rPr>
          <w:color w:val="auto"/>
          <w:sz w:val="20"/>
          <w:szCs w:val="20"/>
        </w:rPr>
      </w:pPr>
      <w:r w:rsidRPr="00126D6C">
        <w:rPr>
          <w:rFonts w:ascii="Arial" w:hAnsi="Arial" w:cs="Arial"/>
          <w:color w:val="auto"/>
          <w:sz w:val="20"/>
          <w:szCs w:val="20"/>
        </w:rPr>
        <w:t>London, SW1A 0PW</w:t>
      </w:r>
    </w:p>
    <w:p w14:paraId="27E2B1D1" w14:textId="6766898D" w:rsidR="00CA62E3" w:rsidRPr="00126D6C" w:rsidRDefault="00EE1660" w:rsidP="004956CA">
      <w:pPr>
        <w:pStyle w:val="Datedetails"/>
        <w:framePr w:w="2861" w:h="401" w:hRule="exact" w:wrap="around" w:x="7561" w:y="2714"/>
        <w:spacing w:line="276" w:lineRule="auto"/>
        <w:rPr>
          <w:rFonts w:ascii="Arial" w:hAnsi="Arial" w:cs="Arial"/>
          <w:color w:val="auto"/>
          <w:sz w:val="20"/>
          <w:szCs w:val="20"/>
        </w:rPr>
      </w:pPr>
      <w:r>
        <w:rPr>
          <w:rFonts w:ascii="Arial" w:hAnsi="Arial" w:cs="Arial"/>
          <w:color w:val="auto"/>
          <w:sz w:val="20"/>
          <w:szCs w:val="20"/>
        </w:rPr>
        <w:t>21</w:t>
      </w:r>
      <w:r w:rsidR="002206B9" w:rsidRPr="00126D6C">
        <w:rPr>
          <w:rFonts w:ascii="Arial" w:hAnsi="Arial" w:cs="Arial"/>
          <w:color w:val="auto"/>
          <w:sz w:val="20"/>
          <w:szCs w:val="20"/>
        </w:rPr>
        <w:t xml:space="preserve"> September 2016</w:t>
      </w:r>
    </w:p>
    <w:p w14:paraId="27E2B1D2" w14:textId="4C28967C" w:rsidR="00A07A37" w:rsidRPr="00126D6C" w:rsidRDefault="00D84325" w:rsidP="004956CA">
      <w:pPr>
        <w:spacing w:after="0"/>
        <w:rPr>
          <w:rFonts w:ascii="Arial" w:hAnsi="Arial" w:cs="Arial"/>
          <w:sz w:val="20"/>
          <w:szCs w:val="20"/>
        </w:rPr>
      </w:pPr>
      <w:r w:rsidRPr="00126D6C">
        <w:rPr>
          <w:rFonts w:ascii="Arial" w:hAnsi="Arial" w:cs="Arial"/>
          <w:sz w:val="20"/>
          <w:szCs w:val="20"/>
        </w:rPr>
        <w:t xml:space="preserve">Dear </w:t>
      </w:r>
      <w:r w:rsidR="002206B9" w:rsidRPr="00126D6C">
        <w:rPr>
          <w:rFonts w:ascii="Arial" w:hAnsi="Arial" w:cs="Arial"/>
          <w:sz w:val="20"/>
          <w:szCs w:val="20"/>
        </w:rPr>
        <w:t>Lord Patel</w:t>
      </w:r>
    </w:p>
    <w:p w14:paraId="27E2B1D4" w14:textId="77777777" w:rsidR="00E809E4" w:rsidRPr="00126D6C" w:rsidRDefault="00E809E4" w:rsidP="004956CA">
      <w:pPr>
        <w:spacing w:after="0"/>
        <w:rPr>
          <w:rFonts w:ascii="Arial" w:hAnsi="Arial" w:cs="Arial"/>
          <w:sz w:val="20"/>
          <w:szCs w:val="20"/>
        </w:rPr>
      </w:pPr>
    </w:p>
    <w:p w14:paraId="27E2B1D5" w14:textId="017D54D6" w:rsidR="00D84325" w:rsidRDefault="002206B9" w:rsidP="004956CA">
      <w:pPr>
        <w:spacing w:after="0"/>
        <w:rPr>
          <w:rFonts w:ascii="Arial" w:hAnsi="Arial" w:cs="Arial"/>
          <w:b/>
          <w:sz w:val="20"/>
          <w:szCs w:val="20"/>
        </w:rPr>
      </w:pPr>
      <w:r w:rsidRPr="00126D6C">
        <w:rPr>
          <w:rFonts w:ascii="Arial" w:hAnsi="Arial" w:cs="Arial"/>
          <w:b/>
          <w:sz w:val="20"/>
          <w:szCs w:val="20"/>
        </w:rPr>
        <w:t>IFoA response to the Select Committee’s Call for Evidence on the long-term sustainability of the NHS</w:t>
      </w:r>
    </w:p>
    <w:p w14:paraId="21CB35F7" w14:textId="77777777" w:rsidR="007C05C4" w:rsidRDefault="007C05C4" w:rsidP="004956CA">
      <w:pPr>
        <w:spacing w:after="0"/>
        <w:rPr>
          <w:rFonts w:ascii="Arial" w:hAnsi="Arial" w:cs="Arial"/>
          <w:b/>
          <w:sz w:val="20"/>
          <w:szCs w:val="20"/>
        </w:rPr>
      </w:pPr>
    </w:p>
    <w:p w14:paraId="0BE209AB" w14:textId="1520F004" w:rsidR="007C05C4" w:rsidRDefault="007C05C4" w:rsidP="004956CA">
      <w:pPr>
        <w:spacing w:after="0"/>
        <w:rPr>
          <w:rFonts w:ascii="Arial" w:hAnsi="Arial" w:cs="Arial"/>
          <w:b/>
          <w:sz w:val="20"/>
          <w:szCs w:val="20"/>
        </w:rPr>
      </w:pPr>
      <w:r>
        <w:rPr>
          <w:rFonts w:ascii="Arial" w:hAnsi="Arial" w:cs="Arial"/>
          <w:b/>
          <w:sz w:val="20"/>
          <w:szCs w:val="20"/>
        </w:rPr>
        <w:t>Summary</w:t>
      </w:r>
    </w:p>
    <w:p w14:paraId="79999CCA" w14:textId="77777777" w:rsidR="007C05C4" w:rsidRDefault="007C05C4" w:rsidP="004956CA">
      <w:pPr>
        <w:spacing w:after="0"/>
        <w:rPr>
          <w:rFonts w:ascii="Arial" w:hAnsi="Arial" w:cs="Arial"/>
          <w:b/>
          <w:sz w:val="20"/>
          <w:szCs w:val="20"/>
        </w:rPr>
      </w:pPr>
    </w:p>
    <w:p w14:paraId="603149F1" w14:textId="1BCDF96E" w:rsidR="007C05C4" w:rsidRPr="0080672B" w:rsidRDefault="00D5728D" w:rsidP="004956CA">
      <w:pPr>
        <w:pStyle w:val="ListParagraph"/>
        <w:numPr>
          <w:ilvl w:val="0"/>
          <w:numId w:val="11"/>
        </w:numPr>
        <w:spacing w:after="0"/>
        <w:rPr>
          <w:rFonts w:ascii="Arial" w:hAnsi="Arial" w:cs="Arial"/>
          <w:b/>
          <w:sz w:val="20"/>
          <w:szCs w:val="20"/>
        </w:rPr>
      </w:pPr>
      <w:r w:rsidRPr="0080672B">
        <w:rPr>
          <w:rFonts w:ascii="Arial" w:hAnsi="Arial" w:cs="Arial"/>
          <w:sz w:val="20"/>
          <w:szCs w:val="20"/>
        </w:rPr>
        <w:t xml:space="preserve">It is important that the Committee considers social care in its assessment of the sustainability of the NHS. Social care needs are rising, yet State spending is </w:t>
      </w:r>
      <w:r w:rsidR="00BC58A4">
        <w:rPr>
          <w:rFonts w:ascii="Arial" w:hAnsi="Arial" w:cs="Arial"/>
          <w:sz w:val="20"/>
          <w:szCs w:val="20"/>
        </w:rPr>
        <w:t>falling. The affec</w:t>
      </w:r>
      <w:r w:rsidRPr="0080672B">
        <w:rPr>
          <w:rFonts w:ascii="Arial" w:hAnsi="Arial" w:cs="Arial"/>
          <w:sz w:val="20"/>
          <w:szCs w:val="20"/>
        </w:rPr>
        <w:t xml:space="preserve">ts of this are already being seen with the proportion of delayed transfers of care attributable to </w:t>
      </w:r>
      <w:r w:rsidR="00041D68">
        <w:rPr>
          <w:rFonts w:ascii="Arial" w:hAnsi="Arial" w:cs="Arial"/>
          <w:sz w:val="20"/>
          <w:szCs w:val="20"/>
        </w:rPr>
        <w:t xml:space="preserve">a lack of </w:t>
      </w:r>
      <w:r w:rsidRPr="0080672B">
        <w:rPr>
          <w:rFonts w:ascii="Arial" w:hAnsi="Arial" w:cs="Arial"/>
          <w:sz w:val="20"/>
          <w:szCs w:val="20"/>
        </w:rPr>
        <w:t>social care</w:t>
      </w:r>
      <w:r w:rsidR="00041D68">
        <w:rPr>
          <w:rFonts w:ascii="Arial" w:hAnsi="Arial" w:cs="Arial"/>
          <w:sz w:val="20"/>
          <w:szCs w:val="20"/>
        </w:rPr>
        <w:t xml:space="preserve"> provision</w:t>
      </w:r>
      <w:r w:rsidRPr="0080672B">
        <w:rPr>
          <w:rFonts w:ascii="Arial" w:hAnsi="Arial" w:cs="Arial"/>
          <w:sz w:val="20"/>
          <w:szCs w:val="20"/>
        </w:rPr>
        <w:t xml:space="preserve"> increasing. In order to create a sustainable framework in England,</w:t>
      </w:r>
      <w:r w:rsidR="0080672B" w:rsidRPr="0080672B">
        <w:rPr>
          <w:rFonts w:ascii="Arial" w:hAnsi="Arial" w:cs="Arial"/>
          <w:sz w:val="20"/>
          <w:szCs w:val="20"/>
        </w:rPr>
        <w:t xml:space="preserve"> </w:t>
      </w:r>
      <w:r w:rsidR="00BC58A4">
        <w:rPr>
          <w:rFonts w:ascii="Arial" w:hAnsi="Arial" w:cs="Arial"/>
          <w:sz w:val="20"/>
          <w:szCs w:val="20"/>
        </w:rPr>
        <w:t xml:space="preserve">both health and social care funding need to be considered.  </w:t>
      </w:r>
    </w:p>
    <w:p w14:paraId="292F6C30" w14:textId="77777777" w:rsidR="0080672B" w:rsidRPr="0080672B" w:rsidRDefault="0080672B" w:rsidP="0080672B">
      <w:pPr>
        <w:pStyle w:val="ListParagraph"/>
        <w:spacing w:after="0"/>
        <w:rPr>
          <w:rFonts w:ascii="Arial" w:hAnsi="Arial" w:cs="Arial"/>
          <w:b/>
          <w:sz w:val="20"/>
          <w:szCs w:val="20"/>
        </w:rPr>
      </w:pPr>
    </w:p>
    <w:p w14:paraId="58916C0A" w14:textId="6CD47ADC" w:rsidR="0080672B" w:rsidRDefault="00BC58A4" w:rsidP="0080672B">
      <w:pPr>
        <w:pStyle w:val="ListParagraph"/>
        <w:numPr>
          <w:ilvl w:val="0"/>
          <w:numId w:val="11"/>
        </w:numPr>
        <w:spacing w:after="0"/>
        <w:rPr>
          <w:rFonts w:ascii="Arial" w:hAnsi="Arial" w:cs="Arial"/>
          <w:sz w:val="20"/>
          <w:szCs w:val="20"/>
        </w:rPr>
      </w:pPr>
      <w:r>
        <w:rPr>
          <w:rFonts w:ascii="Arial" w:hAnsi="Arial" w:cs="Arial"/>
          <w:sz w:val="20"/>
          <w:szCs w:val="20"/>
        </w:rPr>
        <w:t>The funding models for the NHS and social care are different</w:t>
      </w:r>
      <w:r w:rsidR="00CF32E6">
        <w:rPr>
          <w:rFonts w:ascii="Arial" w:hAnsi="Arial" w:cs="Arial"/>
          <w:sz w:val="20"/>
          <w:szCs w:val="20"/>
        </w:rPr>
        <w:t>. I</w:t>
      </w:r>
      <w:r>
        <w:rPr>
          <w:rFonts w:ascii="Arial" w:hAnsi="Arial" w:cs="Arial"/>
          <w:sz w:val="20"/>
          <w:szCs w:val="20"/>
        </w:rPr>
        <w:t>f the future of health and care funding is to be sustainable</w:t>
      </w:r>
      <w:r w:rsidR="00B66C8D">
        <w:rPr>
          <w:rFonts w:ascii="Arial" w:hAnsi="Arial" w:cs="Arial"/>
          <w:sz w:val="20"/>
          <w:szCs w:val="20"/>
        </w:rPr>
        <w:t>,</w:t>
      </w:r>
      <w:r>
        <w:rPr>
          <w:rFonts w:ascii="Arial" w:hAnsi="Arial" w:cs="Arial"/>
          <w:sz w:val="20"/>
          <w:szCs w:val="20"/>
        </w:rPr>
        <w:t xml:space="preserve"> </w:t>
      </w:r>
      <w:r w:rsidRPr="0080672B">
        <w:rPr>
          <w:rFonts w:ascii="Arial" w:hAnsi="Arial" w:cs="Arial"/>
          <w:sz w:val="20"/>
          <w:szCs w:val="20"/>
        </w:rPr>
        <w:t xml:space="preserve">there needs to be a balance between </w:t>
      </w:r>
      <w:r>
        <w:rPr>
          <w:rFonts w:ascii="Arial" w:hAnsi="Arial" w:cs="Arial"/>
          <w:sz w:val="20"/>
          <w:szCs w:val="20"/>
        </w:rPr>
        <w:t xml:space="preserve">these two approaches, and therefore, </w:t>
      </w:r>
      <w:r w:rsidR="00CF32E6">
        <w:rPr>
          <w:rFonts w:ascii="Arial" w:hAnsi="Arial" w:cs="Arial"/>
          <w:sz w:val="20"/>
          <w:szCs w:val="20"/>
        </w:rPr>
        <w:t xml:space="preserve">between </w:t>
      </w:r>
      <w:r w:rsidRPr="0080672B">
        <w:rPr>
          <w:rFonts w:ascii="Arial" w:hAnsi="Arial" w:cs="Arial"/>
          <w:sz w:val="20"/>
          <w:szCs w:val="20"/>
        </w:rPr>
        <w:t>Government and individual funding</w:t>
      </w:r>
      <w:r>
        <w:rPr>
          <w:rFonts w:ascii="Arial" w:hAnsi="Arial" w:cs="Arial"/>
          <w:sz w:val="20"/>
          <w:szCs w:val="20"/>
        </w:rPr>
        <w:t xml:space="preserve">. </w:t>
      </w:r>
      <w:r w:rsidR="0080672B">
        <w:rPr>
          <w:rFonts w:ascii="Arial" w:hAnsi="Arial" w:cs="Arial"/>
          <w:sz w:val="20"/>
          <w:szCs w:val="20"/>
        </w:rPr>
        <w:t>International experience and pensions policy here in the UK demonstrate that governments can take a lead role in increasing the number of peo</w:t>
      </w:r>
      <w:r>
        <w:rPr>
          <w:rFonts w:ascii="Arial" w:hAnsi="Arial" w:cs="Arial"/>
          <w:sz w:val="20"/>
          <w:szCs w:val="20"/>
        </w:rPr>
        <w:t>ple saving towards future costs</w:t>
      </w:r>
      <w:r w:rsidR="0080672B">
        <w:rPr>
          <w:rFonts w:ascii="Arial" w:hAnsi="Arial" w:cs="Arial"/>
          <w:sz w:val="20"/>
          <w:szCs w:val="20"/>
        </w:rPr>
        <w:t>. Success has been achieved through awareness raising campaigns and implementation of national social insurance and saving programmes.</w:t>
      </w:r>
    </w:p>
    <w:p w14:paraId="5DEA977E" w14:textId="77777777" w:rsidR="0080672B" w:rsidRDefault="0080672B" w:rsidP="0080672B">
      <w:pPr>
        <w:pStyle w:val="ListParagraph"/>
        <w:spacing w:after="0"/>
        <w:rPr>
          <w:rFonts w:ascii="Arial" w:hAnsi="Arial" w:cs="Arial"/>
          <w:sz w:val="20"/>
          <w:szCs w:val="20"/>
        </w:rPr>
      </w:pPr>
    </w:p>
    <w:p w14:paraId="23547A78" w14:textId="1B56452E" w:rsidR="0080672B" w:rsidRDefault="0080672B" w:rsidP="004956CA">
      <w:pPr>
        <w:pStyle w:val="ListParagraph"/>
        <w:numPr>
          <w:ilvl w:val="0"/>
          <w:numId w:val="11"/>
        </w:numPr>
        <w:spacing w:after="0"/>
        <w:rPr>
          <w:rFonts w:ascii="Arial" w:hAnsi="Arial" w:cs="Arial"/>
          <w:sz w:val="20"/>
          <w:szCs w:val="20"/>
        </w:rPr>
      </w:pPr>
      <w:r w:rsidRPr="0080672B">
        <w:rPr>
          <w:rFonts w:ascii="Arial" w:hAnsi="Arial" w:cs="Arial"/>
          <w:sz w:val="20"/>
          <w:szCs w:val="20"/>
        </w:rPr>
        <w:t>Our recommendations to the Committee are:</w:t>
      </w:r>
    </w:p>
    <w:p w14:paraId="20F58FC5" w14:textId="2E7A446E" w:rsidR="0080672B" w:rsidRPr="00126D6C" w:rsidRDefault="0080672B" w:rsidP="0080672B">
      <w:pPr>
        <w:pStyle w:val="ListParagraph"/>
        <w:numPr>
          <w:ilvl w:val="1"/>
          <w:numId w:val="11"/>
        </w:numPr>
        <w:autoSpaceDE w:val="0"/>
        <w:autoSpaceDN w:val="0"/>
        <w:adjustRightInd w:val="0"/>
        <w:spacing w:after="0"/>
        <w:rPr>
          <w:rFonts w:ascii="Arial" w:hAnsi="Arial" w:cs="Arial"/>
          <w:sz w:val="20"/>
          <w:szCs w:val="20"/>
        </w:rPr>
      </w:pPr>
      <w:r w:rsidRPr="00126D6C">
        <w:rPr>
          <w:rFonts w:ascii="Arial" w:hAnsi="Arial" w:cs="Arial"/>
          <w:sz w:val="20"/>
          <w:szCs w:val="20"/>
        </w:rPr>
        <w:t xml:space="preserve">Widespread public engagement is needed </w:t>
      </w:r>
      <w:r w:rsidR="00B66C8D">
        <w:rPr>
          <w:rFonts w:ascii="Arial" w:hAnsi="Arial" w:cs="Arial"/>
          <w:sz w:val="20"/>
          <w:szCs w:val="20"/>
        </w:rPr>
        <w:t>on the cost of social care</w:t>
      </w:r>
    </w:p>
    <w:p w14:paraId="079933EA" w14:textId="46DD85E3" w:rsidR="0080672B" w:rsidRDefault="0080672B" w:rsidP="0080672B">
      <w:pPr>
        <w:pStyle w:val="ListParagraph"/>
        <w:numPr>
          <w:ilvl w:val="1"/>
          <w:numId w:val="11"/>
        </w:numPr>
        <w:autoSpaceDE w:val="0"/>
        <w:autoSpaceDN w:val="0"/>
        <w:adjustRightInd w:val="0"/>
        <w:spacing w:after="0"/>
        <w:rPr>
          <w:rFonts w:ascii="Arial" w:hAnsi="Arial" w:cs="Arial"/>
          <w:sz w:val="20"/>
          <w:szCs w:val="20"/>
        </w:rPr>
      </w:pPr>
      <w:r w:rsidRPr="00126D6C">
        <w:rPr>
          <w:rFonts w:ascii="Arial" w:hAnsi="Arial" w:cs="Arial"/>
          <w:sz w:val="20"/>
          <w:szCs w:val="20"/>
        </w:rPr>
        <w:t>Sav</w:t>
      </w:r>
      <w:r w:rsidR="00BC58A4">
        <w:rPr>
          <w:rFonts w:ascii="Arial" w:hAnsi="Arial" w:cs="Arial"/>
          <w:sz w:val="20"/>
          <w:szCs w:val="20"/>
        </w:rPr>
        <w:t>ing for care</w:t>
      </w:r>
      <w:r w:rsidRPr="00126D6C">
        <w:rPr>
          <w:rFonts w:ascii="Arial" w:hAnsi="Arial" w:cs="Arial"/>
          <w:sz w:val="20"/>
          <w:szCs w:val="20"/>
        </w:rPr>
        <w:t xml:space="preserve"> mus</w:t>
      </w:r>
      <w:r>
        <w:rPr>
          <w:rFonts w:ascii="Arial" w:hAnsi="Arial" w:cs="Arial"/>
          <w:sz w:val="20"/>
          <w:szCs w:val="20"/>
        </w:rPr>
        <w:t>t be incentivised not penalised</w:t>
      </w:r>
    </w:p>
    <w:p w14:paraId="50061C3C" w14:textId="2DF96B1A" w:rsidR="00F14EEC" w:rsidRPr="00126D6C" w:rsidRDefault="00F14EEC" w:rsidP="0080672B">
      <w:pPr>
        <w:pStyle w:val="ListParagraph"/>
        <w:numPr>
          <w:ilvl w:val="1"/>
          <w:numId w:val="11"/>
        </w:numPr>
        <w:autoSpaceDE w:val="0"/>
        <w:autoSpaceDN w:val="0"/>
        <w:adjustRightInd w:val="0"/>
        <w:spacing w:after="0"/>
        <w:rPr>
          <w:rFonts w:ascii="Arial" w:hAnsi="Arial" w:cs="Arial"/>
          <w:sz w:val="20"/>
          <w:szCs w:val="20"/>
        </w:rPr>
      </w:pPr>
      <w:r w:rsidRPr="00995D8F">
        <w:rPr>
          <w:rFonts w:ascii="Arial" w:hAnsi="Arial" w:cs="Arial"/>
          <w:sz w:val="20"/>
        </w:rPr>
        <w:t xml:space="preserve">Telehealth and wearables can encourage healthier living </w:t>
      </w:r>
      <w:r>
        <w:rPr>
          <w:rFonts w:ascii="Arial" w:hAnsi="Arial" w:cs="Arial"/>
          <w:sz w:val="20"/>
        </w:rPr>
        <w:t>and</w:t>
      </w:r>
      <w:r w:rsidRPr="00995D8F">
        <w:rPr>
          <w:rFonts w:ascii="Arial" w:hAnsi="Arial" w:cs="Arial"/>
          <w:sz w:val="20"/>
        </w:rPr>
        <w:t xml:space="preserve"> create efficiencies in the health care system</w:t>
      </w:r>
    </w:p>
    <w:p w14:paraId="5DEE8F45" w14:textId="23FB3969" w:rsidR="007C05C4" w:rsidRPr="00126D6C" w:rsidRDefault="007C05C4" w:rsidP="004956CA">
      <w:pPr>
        <w:spacing w:after="0"/>
        <w:rPr>
          <w:rFonts w:ascii="Arial" w:hAnsi="Arial" w:cs="Arial"/>
          <w:b/>
          <w:sz w:val="20"/>
          <w:szCs w:val="20"/>
        </w:rPr>
      </w:pPr>
      <w:r>
        <w:rPr>
          <w:rFonts w:ascii="Arial" w:hAnsi="Arial" w:cs="Arial"/>
          <w:b/>
          <w:sz w:val="20"/>
          <w:szCs w:val="20"/>
        </w:rPr>
        <w:t>Response</w:t>
      </w:r>
    </w:p>
    <w:p w14:paraId="27E2B1D6" w14:textId="77777777" w:rsidR="00E809E4" w:rsidRPr="00126D6C" w:rsidRDefault="00E809E4" w:rsidP="004956CA">
      <w:pPr>
        <w:spacing w:after="0"/>
        <w:ind w:firstLine="720"/>
        <w:rPr>
          <w:rFonts w:ascii="Arial" w:hAnsi="Arial" w:cs="Arial"/>
          <w:sz w:val="20"/>
          <w:szCs w:val="20"/>
        </w:rPr>
      </w:pPr>
    </w:p>
    <w:p w14:paraId="27E2B1D7" w14:textId="0904F7C4" w:rsidR="00343242" w:rsidRPr="00F14EEC" w:rsidRDefault="002206B9" w:rsidP="00F14EEC">
      <w:pPr>
        <w:pStyle w:val="ListParagraph"/>
        <w:numPr>
          <w:ilvl w:val="0"/>
          <w:numId w:val="11"/>
        </w:numPr>
        <w:spacing w:after="0"/>
        <w:rPr>
          <w:rFonts w:ascii="Arial" w:hAnsi="Arial" w:cs="Arial"/>
          <w:sz w:val="20"/>
          <w:szCs w:val="20"/>
        </w:rPr>
      </w:pPr>
      <w:r w:rsidRPr="00F14EEC">
        <w:rPr>
          <w:rFonts w:ascii="Arial" w:hAnsi="Arial" w:cs="Arial"/>
          <w:sz w:val="20"/>
          <w:szCs w:val="20"/>
        </w:rPr>
        <w:t xml:space="preserve">The Institute and Faculty of Actuaries (IFoA) is the UK membership body for actuaries. </w:t>
      </w:r>
      <w:r w:rsidR="00D24DC3" w:rsidRPr="00F14EEC">
        <w:rPr>
          <w:rFonts w:ascii="Arial" w:hAnsi="Arial" w:cs="Arial"/>
          <w:sz w:val="20"/>
          <w:szCs w:val="20"/>
        </w:rPr>
        <w:t>Health and care is a growing area for actuarial work</w:t>
      </w:r>
      <w:r w:rsidR="004C294D" w:rsidRPr="00F14EEC">
        <w:rPr>
          <w:rFonts w:ascii="Arial" w:hAnsi="Arial" w:cs="Arial"/>
          <w:sz w:val="20"/>
          <w:szCs w:val="20"/>
        </w:rPr>
        <w:t xml:space="preserve"> as actuaries</w:t>
      </w:r>
      <w:r w:rsidR="00D64453" w:rsidRPr="00F14EEC">
        <w:rPr>
          <w:rFonts w:ascii="Arial" w:hAnsi="Arial" w:cs="Arial"/>
          <w:sz w:val="20"/>
          <w:szCs w:val="20"/>
        </w:rPr>
        <w:t xml:space="preserve"> collaborate with other health professionals in financial planning for the NHS, researching ways to restructure funding models to meet the demands of an ageing population and to </w:t>
      </w:r>
      <w:r w:rsidR="004C294D" w:rsidRPr="00F14EEC">
        <w:rPr>
          <w:rFonts w:ascii="Arial" w:hAnsi="Arial" w:cs="Arial"/>
          <w:sz w:val="20"/>
          <w:szCs w:val="20"/>
        </w:rPr>
        <w:t>offer</w:t>
      </w:r>
      <w:r w:rsidR="00D64453" w:rsidRPr="00F14EEC">
        <w:rPr>
          <w:rFonts w:ascii="Arial" w:hAnsi="Arial" w:cs="Arial"/>
          <w:sz w:val="20"/>
          <w:szCs w:val="20"/>
        </w:rPr>
        <w:t xml:space="preserve"> </w:t>
      </w:r>
      <w:r w:rsidR="004C294D" w:rsidRPr="00F14EEC">
        <w:rPr>
          <w:rFonts w:ascii="Arial" w:hAnsi="Arial" w:cs="Arial"/>
          <w:sz w:val="20"/>
          <w:szCs w:val="20"/>
        </w:rPr>
        <w:t>health and care insurance solutions</w:t>
      </w:r>
      <w:r w:rsidR="00D64453" w:rsidRPr="00F14EEC">
        <w:rPr>
          <w:rFonts w:ascii="Arial" w:hAnsi="Arial" w:cs="Arial"/>
          <w:sz w:val="20"/>
          <w:szCs w:val="20"/>
        </w:rPr>
        <w:t>.</w:t>
      </w:r>
    </w:p>
    <w:p w14:paraId="63976487" w14:textId="77777777" w:rsidR="00D64453" w:rsidRPr="00126D6C" w:rsidRDefault="00D64453" w:rsidP="004956CA">
      <w:pPr>
        <w:pStyle w:val="ListParagraph"/>
        <w:spacing w:after="0"/>
        <w:rPr>
          <w:rFonts w:ascii="Arial" w:hAnsi="Arial" w:cs="Arial"/>
          <w:sz w:val="20"/>
          <w:szCs w:val="20"/>
        </w:rPr>
      </w:pPr>
    </w:p>
    <w:p w14:paraId="6CCEF9F8" w14:textId="77777777" w:rsidR="00741D7D" w:rsidRPr="003B0740" w:rsidRDefault="00741D7D" w:rsidP="00741D7D">
      <w:pPr>
        <w:pStyle w:val="ListParagraph"/>
        <w:numPr>
          <w:ilvl w:val="0"/>
          <w:numId w:val="11"/>
        </w:numPr>
        <w:spacing w:after="0"/>
        <w:rPr>
          <w:rFonts w:ascii="Times New Roman" w:hAnsi="Times New Roman" w:cs="Times New Roman"/>
          <w:sz w:val="24"/>
          <w:szCs w:val="24"/>
          <w:lang w:eastAsia="en-GB"/>
        </w:rPr>
      </w:pPr>
      <w:r w:rsidRPr="00741D7D">
        <w:rPr>
          <w:rFonts w:ascii="Arial" w:hAnsi="Arial" w:cs="Arial"/>
          <w:sz w:val="20"/>
          <w:szCs w:val="20"/>
        </w:rPr>
        <w:t xml:space="preserve">To achieve long-term sustainability, and intergenerational fairness, it seems reasonable to find someway of ensuring that those benefitting from longer lives and access to health and care services contribute to this increasing cost. This is particularly important as the ‘old age </w:t>
      </w:r>
      <w:r w:rsidRPr="00741D7D">
        <w:rPr>
          <w:rFonts w:ascii="Arial" w:hAnsi="Arial" w:cs="Arial"/>
          <w:sz w:val="20"/>
          <w:szCs w:val="20"/>
        </w:rPr>
        <w:lastRenderedPageBreak/>
        <w:t>dependency ratio’ (the number of people over the State pension age for every 1,000 people of working age) is increasing. This is resulting in a growing proportion of State expenditure being focused on those over State pension age</w:t>
      </w:r>
      <w:r>
        <w:rPr>
          <w:rFonts w:ascii="Arial" w:hAnsi="Arial" w:cs="Arial"/>
          <w:sz w:val="20"/>
          <w:szCs w:val="20"/>
        </w:rPr>
        <w:t>, including health, social care and other age-</w:t>
      </w:r>
      <w:proofErr w:type="spellStart"/>
      <w:r>
        <w:rPr>
          <w:rFonts w:ascii="Arial" w:hAnsi="Arial" w:cs="Arial"/>
          <w:sz w:val="20"/>
          <w:szCs w:val="20"/>
        </w:rPr>
        <w:t>relkated</w:t>
      </w:r>
      <w:proofErr w:type="spellEnd"/>
      <w:r>
        <w:rPr>
          <w:rFonts w:ascii="Arial" w:hAnsi="Arial" w:cs="Arial"/>
          <w:sz w:val="20"/>
          <w:szCs w:val="20"/>
        </w:rPr>
        <w:t xml:space="preserve"> benefits</w:t>
      </w:r>
      <w:r w:rsidRPr="00741D7D">
        <w:rPr>
          <w:rFonts w:ascii="Arial" w:hAnsi="Arial" w:cs="Arial"/>
          <w:sz w:val="20"/>
          <w:szCs w:val="20"/>
        </w:rPr>
        <w:t>.</w:t>
      </w:r>
      <w:r>
        <w:rPr>
          <w:rStyle w:val="FootnoteReference"/>
          <w:rFonts w:ascii="Arial" w:hAnsi="Arial" w:cs="Arial"/>
          <w:sz w:val="20"/>
          <w:szCs w:val="20"/>
        </w:rPr>
        <w:footnoteReference w:id="1"/>
      </w:r>
      <w:r w:rsidRPr="00741D7D">
        <w:rPr>
          <w:rFonts w:ascii="Arial" w:hAnsi="Arial" w:cs="Arial"/>
          <w:sz w:val="20"/>
          <w:szCs w:val="20"/>
        </w:rPr>
        <w:t xml:space="preserve"> </w:t>
      </w:r>
      <w:r w:rsidRPr="008B5268">
        <w:rPr>
          <w:rFonts w:ascii="Arial" w:hAnsi="Arial" w:cs="Arial"/>
          <w:sz w:val="20"/>
          <w:szCs w:val="20"/>
        </w:rPr>
        <w:t>We wish to bring to the Committee’s attention a recent report by the Government Actuary’s Department (GAD) ‘A Cohort Approach to Social Care Funding’.</w:t>
      </w:r>
      <w:r>
        <w:rPr>
          <w:rStyle w:val="FootnoteReference"/>
          <w:rFonts w:ascii="Arial" w:hAnsi="Arial" w:cs="Arial"/>
          <w:sz w:val="20"/>
          <w:szCs w:val="20"/>
        </w:rPr>
        <w:footnoteReference w:id="2"/>
      </w:r>
      <w:r w:rsidRPr="008B5268">
        <w:rPr>
          <w:rFonts w:ascii="Arial" w:hAnsi="Arial" w:cs="Arial"/>
          <w:sz w:val="20"/>
          <w:szCs w:val="20"/>
        </w:rPr>
        <w:t xml:space="preserve"> In this paper, GAD suggests tailoring the approach to social care funding by generation to develop solutions for the longer term. A further policy option that is being explored elsewhere in Government, and where the actuarial profession has completed further analysis, is increasing State pension age, to increase the number of people making National Insurance contributions.</w:t>
      </w:r>
      <w:r>
        <w:rPr>
          <w:rStyle w:val="FootnoteReference"/>
          <w:rFonts w:ascii="Arial" w:hAnsi="Arial" w:cs="Arial"/>
          <w:sz w:val="20"/>
          <w:szCs w:val="20"/>
        </w:rPr>
        <w:footnoteReference w:id="3"/>
      </w:r>
    </w:p>
    <w:p w14:paraId="54191AD0" w14:textId="77777777" w:rsidR="00741D7D" w:rsidRPr="00EB3C62" w:rsidRDefault="00741D7D" w:rsidP="003B0740">
      <w:pPr>
        <w:pStyle w:val="ListParagraph"/>
        <w:spacing w:after="0"/>
        <w:rPr>
          <w:rFonts w:ascii="Times New Roman" w:hAnsi="Times New Roman" w:cs="Times New Roman"/>
          <w:sz w:val="24"/>
          <w:szCs w:val="24"/>
          <w:lang w:eastAsia="en-GB"/>
        </w:rPr>
      </w:pPr>
      <w:bookmarkStart w:id="0" w:name="_GoBack"/>
      <w:bookmarkEnd w:id="0"/>
    </w:p>
    <w:p w14:paraId="5D5A12FD" w14:textId="29FC2620" w:rsidR="00D64453" w:rsidRPr="00126D6C" w:rsidRDefault="00D64453" w:rsidP="00F14EEC">
      <w:pPr>
        <w:pStyle w:val="ListParagraph"/>
        <w:numPr>
          <w:ilvl w:val="0"/>
          <w:numId w:val="11"/>
        </w:numPr>
        <w:spacing w:after="0"/>
        <w:rPr>
          <w:rFonts w:ascii="Arial" w:hAnsi="Arial" w:cs="Arial"/>
          <w:sz w:val="20"/>
          <w:szCs w:val="20"/>
        </w:rPr>
      </w:pPr>
      <w:r w:rsidRPr="00126D6C">
        <w:rPr>
          <w:rFonts w:ascii="Arial" w:hAnsi="Arial" w:cs="Arial"/>
          <w:sz w:val="20"/>
          <w:szCs w:val="20"/>
        </w:rPr>
        <w:t xml:space="preserve">The IFoA welcomes the Committee’s commitment to long-term sustainability. Moving towards a health and care system that is clear on what </w:t>
      </w:r>
      <w:r w:rsidR="00211AF6">
        <w:rPr>
          <w:rFonts w:ascii="Arial" w:hAnsi="Arial" w:cs="Arial"/>
          <w:sz w:val="20"/>
          <w:szCs w:val="20"/>
        </w:rPr>
        <w:t>social care the State can</w:t>
      </w:r>
      <w:r w:rsidRPr="00126D6C">
        <w:rPr>
          <w:rFonts w:ascii="Arial" w:hAnsi="Arial" w:cs="Arial"/>
          <w:sz w:val="20"/>
          <w:szCs w:val="20"/>
        </w:rPr>
        <w:t xml:space="preserve"> afford</w:t>
      </w:r>
      <w:r w:rsidR="00211AF6">
        <w:rPr>
          <w:rFonts w:ascii="Arial" w:hAnsi="Arial" w:cs="Arial"/>
          <w:sz w:val="20"/>
          <w:szCs w:val="20"/>
        </w:rPr>
        <w:t xml:space="preserve"> to provide could be</w:t>
      </w:r>
      <w:r w:rsidR="00DE1B85">
        <w:rPr>
          <w:rFonts w:ascii="Arial" w:hAnsi="Arial" w:cs="Arial"/>
          <w:sz w:val="20"/>
          <w:szCs w:val="20"/>
        </w:rPr>
        <w:t xml:space="preserve"> </w:t>
      </w:r>
      <w:r w:rsidRPr="00126D6C">
        <w:rPr>
          <w:rFonts w:ascii="Arial" w:hAnsi="Arial" w:cs="Arial"/>
          <w:sz w:val="20"/>
          <w:szCs w:val="20"/>
        </w:rPr>
        <w:t xml:space="preserve">politically risky in the short-term, </w:t>
      </w:r>
      <w:r w:rsidR="00211AF6">
        <w:rPr>
          <w:rFonts w:ascii="Arial" w:hAnsi="Arial" w:cs="Arial"/>
          <w:sz w:val="20"/>
          <w:szCs w:val="20"/>
        </w:rPr>
        <w:t xml:space="preserve">but it </w:t>
      </w:r>
      <w:r w:rsidRPr="00126D6C">
        <w:rPr>
          <w:rFonts w:ascii="Arial" w:hAnsi="Arial" w:cs="Arial"/>
          <w:sz w:val="20"/>
          <w:szCs w:val="20"/>
        </w:rPr>
        <w:t>will enable people to plan and prepare for an</w:t>
      </w:r>
      <w:r w:rsidR="00E924B4" w:rsidRPr="00126D6C">
        <w:rPr>
          <w:rFonts w:ascii="Arial" w:hAnsi="Arial" w:cs="Arial"/>
          <w:sz w:val="20"/>
          <w:szCs w:val="20"/>
        </w:rPr>
        <w:t>y</w:t>
      </w:r>
      <w:r w:rsidRPr="00126D6C">
        <w:rPr>
          <w:rFonts w:ascii="Arial" w:hAnsi="Arial" w:cs="Arial"/>
          <w:sz w:val="20"/>
          <w:szCs w:val="20"/>
        </w:rPr>
        <w:t xml:space="preserve"> additional needs not met within the free at the point of need funding arrangement. In particular, we note that Government could do significantly more to raise awareness amongst the public that they will need to fund their social care, unless their needs are substantial or they fall below the means-testing thresholds. Without this, people will continue </w:t>
      </w:r>
      <w:r w:rsidR="00E924B4" w:rsidRPr="00126D6C">
        <w:rPr>
          <w:rFonts w:ascii="Arial" w:hAnsi="Arial" w:cs="Arial"/>
          <w:sz w:val="20"/>
          <w:szCs w:val="20"/>
        </w:rPr>
        <w:t xml:space="preserve">to </w:t>
      </w:r>
      <w:r w:rsidRPr="00126D6C">
        <w:rPr>
          <w:rFonts w:ascii="Arial" w:hAnsi="Arial" w:cs="Arial"/>
          <w:sz w:val="20"/>
          <w:szCs w:val="20"/>
        </w:rPr>
        <w:t>hav</w:t>
      </w:r>
      <w:r w:rsidR="00E924B4" w:rsidRPr="00126D6C">
        <w:rPr>
          <w:rFonts w:ascii="Arial" w:hAnsi="Arial" w:cs="Arial"/>
          <w:sz w:val="20"/>
          <w:szCs w:val="20"/>
        </w:rPr>
        <w:t>e</w:t>
      </w:r>
      <w:r w:rsidRPr="00126D6C">
        <w:rPr>
          <w:rFonts w:ascii="Arial" w:hAnsi="Arial" w:cs="Arial"/>
          <w:sz w:val="20"/>
          <w:szCs w:val="20"/>
        </w:rPr>
        <w:t xml:space="preserve"> to make decisions about their care at the point of need</w:t>
      </w:r>
      <w:r w:rsidR="00E924B4" w:rsidRPr="00126D6C">
        <w:rPr>
          <w:rFonts w:ascii="Arial" w:hAnsi="Arial" w:cs="Arial"/>
          <w:sz w:val="20"/>
          <w:szCs w:val="20"/>
        </w:rPr>
        <w:t>, which could result in additional stress at what will already be a difficult time.</w:t>
      </w:r>
    </w:p>
    <w:p w14:paraId="75267769" w14:textId="77777777" w:rsidR="00741D7D" w:rsidRPr="008B5268" w:rsidRDefault="00741D7D" w:rsidP="003B0740">
      <w:pPr>
        <w:pStyle w:val="ListParagraph"/>
        <w:spacing w:after="0"/>
        <w:rPr>
          <w:rFonts w:ascii="Times New Roman" w:hAnsi="Times New Roman" w:cs="Times New Roman"/>
          <w:sz w:val="24"/>
          <w:szCs w:val="24"/>
          <w:lang w:eastAsia="en-GB"/>
        </w:rPr>
      </w:pPr>
    </w:p>
    <w:p w14:paraId="7BDBDB95" w14:textId="4C44379B" w:rsidR="004C294D" w:rsidRPr="00126D6C" w:rsidRDefault="004C294D" w:rsidP="00F14EEC">
      <w:pPr>
        <w:pStyle w:val="ListParagraph"/>
        <w:numPr>
          <w:ilvl w:val="0"/>
          <w:numId w:val="11"/>
        </w:numPr>
        <w:spacing w:after="0"/>
        <w:rPr>
          <w:rFonts w:ascii="Arial" w:hAnsi="Arial" w:cs="Arial"/>
          <w:sz w:val="20"/>
          <w:szCs w:val="20"/>
        </w:rPr>
      </w:pPr>
      <w:r w:rsidRPr="00126D6C">
        <w:rPr>
          <w:rFonts w:ascii="Arial" w:hAnsi="Arial" w:cs="Arial"/>
          <w:sz w:val="20"/>
          <w:szCs w:val="20"/>
        </w:rPr>
        <w:t>We ask the Committee not to overlook the importance of social care funding in its assessment of the long-term sustainability of the NHS for the following reasons:</w:t>
      </w:r>
    </w:p>
    <w:p w14:paraId="47E6C28F" w14:textId="7CD295BC" w:rsidR="00FC4963" w:rsidRPr="00FC4963" w:rsidRDefault="003154F7" w:rsidP="00FC4963">
      <w:pPr>
        <w:pStyle w:val="PlainText"/>
        <w:numPr>
          <w:ilvl w:val="1"/>
          <w:numId w:val="11"/>
        </w:numPr>
        <w:spacing w:line="276" w:lineRule="auto"/>
        <w:rPr>
          <w:rFonts w:ascii="Arial" w:hAnsi="Arial" w:cs="Arial"/>
          <w:sz w:val="20"/>
          <w:szCs w:val="20"/>
        </w:rPr>
      </w:pPr>
      <w:r w:rsidRPr="00126D6C">
        <w:rPr>
          <w:rFonts w:ascii="Arial" w:hAnsi="Arial" w:cs="Arial"/>
          <w:sz w:val="20"/>
          <w:szCs w:val="20"/>
        </w:rPr>
        <w:t>The number of people with social care needs in later life is rising</w:t>
      </w:r>
      <w:r w:rsidR="008C4A72" w:rsidRPr="00126D6C">
        <w:rPr>
          <w:rFonts w:ascii="Arial" w:hAnsi="Arial" w:cs="Arial"/>
          <w:sz w:val="20"/>
          <w:szCs w:val="20"/>
        </w:rPr>
        <w:t>.</w:t>
      </w:r>
      <w:r w:rsidRPr="00126D6C">
        <w:rPr>
          <w:rFonts w:ascii="Arial" w:hAnsi="Arial" w:cs="Arial"/>
          <w:sz w:val="20"/>
          <w:szCs w:val="20"/>
        </w:rPr>
        <w:t xml:space="preserve"> </w:t>
      </w:r>
      <w:r w:rsidR="008C4A72" w:rsidRPr="00126D6C">
        <w:rPr>
          <w:rFonts w:ascii="Arial" w:hAnsi="Arial" w:cs="Arial"/>
          <w:sz w:val="20"/>
          <w:szCs w:val="20"/>
        </w:rPr>
        <w:t>T</w:t>
      </w:r>
      <w:r w:rsidRPr="00126D6C">
        <w:rPr>
          <w:rFonts w:ascii="Arial" w:hAnsi="Arial" w:cs="Arial"/>
          <w:sz w:val="20"/>
          <w:szCs w:val="20"/>
        </w:rPr>
        <w:t xml:space="preserve">he Department of Health estimates that by 2018 there will be over 1 million more people with three or more long-term conditions in England than there </w:t>
      </w:r>
      <w:r w:rsidR="00D4759A">
        <w:rPr>
          <w:rFonts w:ascii="Arial" w:hAnsi="Arial" w:cs="Arial"/>
          <w:sz w:val="20"/>
          <w:szCs w:val="20"/>
        </w:rPr>
        <w:t>were in</w:t>
      </w:r>
      <w:r w:rsidRPr="00126D6C">
        <w:rPr>
          <w:rFonts w:ascii="Arial" w:hAnsi="Arial" w:cs="Arial"/>
          <w:sz w:val="20"/>
          <w:szCs w:val="20"/>
        </w:rPr>
        <w:t xml:space="preserve"> 2008.</w:t>
      </w:r>
      <w:r w:rsidR="001C146C" w:rsidRPr="00126D6C">
        <w:rPr>
          <w:rStyle w:val="FootnoteReference"/>
          <w:rFonts w:ascii="Arial" w:hAnsi="Arial" w:cs="Arial"/>
          <w:sz w:val="20"/>
          <w:szCs w:val="20"/>
        </w:rPr>
        <w:footnoteReference w:id="4"/>
      </w:r>
      <w:r w:rsidR="001C146C" w:rsidRPr="00126D6C">
        <w:rPr>
          <w:rFonts w:ascii="Arial" w:hAnsi="Arial" w:cs="Arial"/>
          <w:sz w:val="20"/>
          <w:szCs w:val="20"/>
        </w:rPr>
        <w:t xml:space="preserve"> Despite this forecast of an increase in demand, between 2009 and 2014, local authority spending on social care for older people fell in real terms by 17% and the number of people receiving publicly funded social care fell by 25% from 1.7 million </w:t>
      </w:r>
      <w:r w:rsidR="008C4A72" w:rsidRPr="00126D6C">
        <w:rPr>
          <w:rFonts w:ascii="Arial" w:hAnsi="Arial" w:cs="Arial"/>
          <w:sz w:val="20"/>
          <w:szCs w:val="20"/>
        </w:rPr>
        <w:t>people to 1.3 million meaning o</w:t>
      </w:r>
      <w:r w:rsidR="001C146C" w:rsidRPr="00126D6C">
        <w:rPr>
          <w:rFonts w:ascii="Arial" w:hAnsi="Arial" w:cs="Arial"/>
          <w:sz w:val="20"/>
          <w:szCs w:val="20"/>
        </w:rPr>
        <w:t>nly those with substantial or critical needs are receiving public funding.</w:t>
      </w:r>
      <w:r w:rsidR="001C146C" w:rsidRPr="00126D6C">
        <w:rPr>
          <w:rStyle w:val="FootnoteReference"/>
          <w:rFonts w:ascii="Arial" w:hAnsi="Arial" w:cs="Arial"/>
          <w:sz w:val="20"/>
          <w:szCs w:val="20"/>
        </w:rPr>
        <w:footnoteReference w:id="5"/>
      </w:r>
      <w:r w:rsidR="001C146C" w:rsidRPr="00126D6C">
        <w:rPr>
          <w:rFonts w:ascii="Arial" w:hAnsi="Arial" w:cs="Arial"/>
          <w:sz w:val="20"/>
          <w:szCs w:val="20"/>
        </w:rPr>
        <w:t xml:space="preserve"> </w:t>
      </w:r>
      <w:r w:rsidRPr="00126D6C">
        <w:rPr>
          <w:rFonts w:ascii="Arial" w:hAnsi="Arial" w:cs="Arial"/>
          <w:sz w:val="20"/>
          <w:szCs w:val="20"/>
        </w:rPr>
        <w:t xml:space="preserve">  </w:t>
      </w:r>
    </w:p>
    <w:p w14:paraId="7D3D76A0" w14:textId="494F6B12" w:rsidR="004C294D" w:rsidRPr="00126D6C" w:rsidRDefault="008C4A72" w:rsidP="00F14EEC">
      <w:pPr>
        <w:pStyle w:val="ListParagraph"/>
        <w:numPr>
          <w:ilvl w:val="1"/>
          <w:numId w:val="11"/>
        </w:numPr>
        <w:spacing w:after="0"/>
        <w:rPr>
          <w:rFonts w:ascii="Arial" w:hAnsi="Arial" w:cs="Arial"/>
          <w:sz w:val="20"/>
          <w:szCs w:val="20"/>
        </w:rPr>
      </w:pPr>
      <w:r w:rsidRPr="00126D6C">
        <w:rPr>
          <w:rFonts w:ascii="Arial" w:hAnsi="Arial" w:cs="Arial"/>
          <w:sz w:val="20"/>
          <w:szCs w:val="20"/>
        </w:rPr>
        <w:t>An under-funded</w:t>
      </w:r>
      <w:r w:rsidR="003154F7" w:rsidRPr="00126D6C">
        <w:rPr>
          <w:rFonts w:ascii="Arial" w:hAnsi="Arial" w:cs="Arial"/>
          <w:sz w:val="20"/>
          <w:szCs w:val="20"/>
        </w:rPr>
        <w:t xml:space="preserve"> social care </w:t>
      </w:r>
      <w:r w:rsidRPr="00126D6C">
        <w:rPr>
          <w:rFonts w:ascii="Arial" w:hAnsi="Arial" w:cs="Arial"/>
          <w:sz w:val="20"/>
          <w:szCs w:val="20"/>
        </w:rPr>
        <w:t xml:space="preserve">system and </w:t>
      </w:r>
      <w:r w:rsidR="003154F7" w:rsidRPr="00126D6C">
        <w:rPr>
          <w:rFonts w:ascii="Arial" w:hAnsi="Arial" w:cs="Arial"/>
          <w:sz w:val="20"/>
          <w:szCs w:val="20"/>
        </w:rPr>
        <w:t xml:space="preserve">an increase in demand </w:t>
      </w:r>
      <w:r w:rsidRPr="00126D6C">
        <w:rPr>
          <w:rFonts w:ascii="Arial" w:hAnsi="Arial" w:cs="Arial"/>
          <w:sz w:val="20"/>
          <w:szCs w:val="20"/>
        </w:rPr>
        <w:t>is already having a detrimental impact on the NHS</w:t>
      </w:r>
      <w:r w:rsidR="009D3C7B" w:rsidRPr="00126D6C">
        <w:rPr>
          <w:rFonts w:ascii="Arial" w:hAnsi="Arial" w:cs="Arial"/>
          <w:sz w:val="20"/>
          <w:szCs w:val="20"/>
        </w:rPr>
        <w:t>,</w:t>
      </w:r>
      <w:r w:rsidRPr="00126D6C">
        <w:rPr>
          <w:rFonts w:ascii="Arial" w:hAnsi="Arial" w:cs="Arial"/>
          <w:sz w:val="20"/>
          <w:szCs w:val="20"/>
        </w:rPr>
        <w:t xml:space="preserve"> with</w:t>
      </w:r>
      <w:r w:rsidR="00840910" w:rsidRPr="00126D6C">
        <w:rPr>
          <w:rFonts w:ascii="Arial" w:hAnsi="Arial" w:cs="Arial"/>
          <w:sz w:val="20"/>
          <w:szCs w:val="20"/>
        </w:rPr>
        <w:t xml:space="preserve"> the proportion of delayed transfers of care attributable to social care increas</w:t>
      </w:r>
      <w:r w:rsidRPr="00126D6C">
        <w:rPr>
          <w:rFonts w:ascii="Arial" w:hAnsi="Arial" w:cs="Arial"/>
          <w:sz w:val="20"/>
          <w:szCs w:val="20"/>
        </w:rPr>
        <w:t>ing</w:t>
      </w:r>
      <w:r w:rsidR="00840910" w:rsidRPr="00126D6C">
        <w:rPr>
          <w:rFonts w:ascii="Arial" w:hAnsi="Arial" w:cs="Arial"/>
          <w:sz w:val="20"/>
          <w:szCs w:val="20"/>
        </w:rPr>
        <w:t xml:space="preserve"> between 2014 and 2015 from 26.7% to 31.1%.</w:t>
      </w:r>
      <w:r w:rsidR="00840910" w:rsidRPr="00126D6C">
        <w:rPr>
          <w:rStyle w:val="FootnoteReference"/>
          <w:rFonts w:ascii="Arial" w:hAnsi="Arial" w:cs="Arial"/>
          <w:sz w:val="20"/>
          <w:szCs w:val="20"/>
        </w:rPr>
        <w:footnoteReference w:id="6"/>
      </w:r>
      <w:r w:rsidR="003154F7" w:rsidRPr="00126D6C">
        <w:rPr>
          <w:rFonts w:ascii="Arial" w:hAnsi="Arial" w:cs="Arial"/>
          <w:sz w:val="20"/>
          <w:szCs w:val="20"/>
        </w:rPr>
        <w:t xml:space="preserve"> </w:t>
      </w:r>
      <w:r w:rsidR="00814C06" w:rsidRPr="00126D6C">
        <w:rPr>
          <w:rFonts w:ascii="Arial" w:hAnsi="Arial" w:cs="Arial"/>
          <w:sz w:val="20"/>
          <w:szCs w:val="20"/>
        </w:rPr>
        <w:t xml:space="preserve">The National Audit Office has </w:t>
      </w:r>
      <w:r w:rsidR="00D4759A">
        <w:rPr>
          <w:rFonts w:ascii="Arial" w:hAnsi="Arial" w:cs="Arial"/>
          <w:sz w:val="20"/>
          <w:szCs w:val="20"/>
        </w:rPr>
        <w:t>estimated the cost of</w:t>
      </w:r>
      <w:r w:rsidR="00DE1B85">
        <w:rPr>
          <w:rFonts w:ascii="Arial" w:hAnsi="Arial" w:cs="Arial"/>
          <w:sz w:val="20"/>
          <w:szCs w:val="20"/>
        </w:rPr>
        <w:t xml:space="preserve"> </w:t>
      </w:r>
      <w:r w:rsidR="00814C06" w:rsidRPr="00126D6C">
        <w:rPr>
          <w:rFonts w:ascii="Arial" w:hAnsi="Arial" w:cs="Arial"/>
          <w:sz w:val="20"/>
          <w:szCs w:val="20"/>
        </w:rPr>
        <w:t>treating older patients in hospital, who no longer need to be there</w:t>
      </w:r>
      <w:r w:rsidRPr="00126D6C">
        <w:rPr>
          <w:rFonts w:ascii="Arial" w:hAnsi="Arial" w:cs="Arial"/>
          <w:sz w:val="20"/>
          <w:szCs w:val="20"/>
        </w:rPr>
        <w:t>,</w:t>
      </w:r>
      <w:r w:rsidR="00814C06" w:rsidRPr="00126D6C">
        <w:rPr>
          <w:rFonts w:ascii="Arial" w:hAnsi="Arial" w:cs="Arial"/>
          <w:sz w:val="20"/>
          <w:szCs w:val="20"/>
        </w:rPr>
        <w:t xml:space="preserve"> in the region of £820 million per annum. It notes this is a conservative estimate.</w:t>
      </w:r>
      <w:r w:rsidR="00814C06" w:rsidRPr="00126D6C">
        <w:rPr>
          <w:rStyle w:val="FootnoteReference"/>
          <w:rFonts w:ascii="Arial" w:hAnsi="Arial" w:cs="Arial"/>
          <w:sz w:val="20"/>
          <w:szCs w:val="20"/>
        </w:rPr>
        <w:footnoteReference w:id="7"/>
      </w:r>
    </w:p>
    <w:p w14:paraId="4EF3001C" w14:textId="77777777" w:rsidR="00175DC0" w:rsidRDefault="008C4A72" w:rsidP="00FC4963">
      <w:pPr>
        <w:pStyle w:val="PlainText"/>
        <w:numPr>
          <w:ilvl w:val="1"/>
          <w:numId w:val="11"/>
        </w:numPr>
        <w:spacing w:line="276" w:lineRule="auto"/>
        <w:rPr>
          <w:rFonts w:ascii="Arial" w:hAnsi="Arial" w:cs="Arial"/>
          <w:sz w:val="20"/>
          <w:szCs w:val="20"/>
        </w:rPr>
      </w:pPr>
      <w:r w:rsidRPr="00126D6C">
        <w:rPr>
          <w:rFonts w:ascii="Arial" w:hAnsi="Arial" w:cs="Arial"/>
          <w:sz w:val="20"/>
          <w:szCs w:val="20"/>
        </w:rPr>
        <w:t>T</w:t>
      </w:r>
      <w:r w:rsidR="003154F7" w:rsidRPr="00126D6C">
        <w:rPr>
          <w:rFonts w:ascii="Arial" w:hAnsi="Arial" w:cs="Arial"/>
          <w:sz w:val="20"/>
          <w:szCs w:val="20"/>
        </w:rPr>
        <w:t xml:space="preserve">he </w:t>
      </w:r>
      <w:r w:rsidR="009D3C7B" w:rsidRPr="00126D6C">
        <w:rPr>
          <w:rFonts w:ascii="Arial" w:hAnsi="Arial" w:cs="Arial"/>
          <w:sz w:val="20"/>
          <w:szCs w:val="20"/>
        </w:rPr>
        <w:t>2015 Spending Review reaffirm</w:t>
      </w:r>
      <w:r w:rsidR="00814C06" w:rsidRPr="00126D6C">
        <w:rPr>
          <w:rFonts w:ascii="Arial" w:hAnsi="Arial" w:cs="Arial"/>
          <w:sz w:val="20"/>
          <w:szCs w:val="20"/>
        </w:rPr>
        <w:t xml:space="preserve">s the </w:t>
      </w:r>
      <w:r w:rsidR="003154F7" w:rsidRPr="00126D6C">
        <w:rPr>
          <w:rFonts w:ascii="Arial" w:hAnsi="Arial" w:cs="Arial"/>
          <w:sz w:val="20"/>
          <w:szCs w:val="20"/>
        </w:rPr>
        <w:t>Government</w:t>
      </w:r>
      <w:r w:rsidR="00814C06" w:rsidRPr="00126D6C">
        <w:rPr>
          <w:rFonts w:ascii="Arial" w:hAnsi="Arial" w:cs="Arial"/>
          <w:sz w:val="20"/>
          <w:szCs w:val="20"/>
        </w:rPr>
        <w:t xml:space="preserve">’s commitment to </w:t>
      </w:r>
      <w:r w:rsidR="009D3C7B" w:rsidRPr="00126D6C">
        <w:rPr>
          <w:rFonts w:ascii="Arial" w:hAnsi="Arial" w:cs="Arial"/>
          <w:sz w:val="20"/>
          <w:szCs w:val="20"/>
        </w:rPr>
        <w:t>integrating</w:t>
      </w:r>
      <w:r w:rsidR="00814C06" w:rsidRPr="00126D6C">
        <w:rPr>
          <w:rFonts w:ascii="Arial" w:hAnsi="Arial" w:cs="Arial"/>
          <w:sz w:val="20"/>
          <w:szCs w:val="20"/>
        </w:rPr>
        <w:t xml:space="preserve"> health and care. In addition to consider</w:t>
      </w:r>
      <w:r w:rsidRPr="00126D6C">
        <w:rPr>
          <w:rFonts w:ascii="Arial" w:hAnsi="Arial" w:cs="Arial"/>
          <w:sz w:val="20"/>
          <w:szCs w:val="20"/>
        </w:rPr>
        <w:t>ing</w:t>
      </w:r>
      <w:r w:rsidR="00814C06" w:rsidRPr="00126D6C">
        <w:rPr>
          <w:rFonts w:ascii="Arial" w:hAnsi="Arial" w:cs="Arial"/>
          <w:sz w:val="20"/>
          <w:szCs w:val="20"/>
        </w:rPr>
        <w:t xml:space="preserve"> what this means for delivery</w:t>
      </w:r>
      <w:r w:rsidRPr="00126D6C">
        <w:rPr>
          <w:rFonts w:ascii="Arial" w:hAnsi="Arial" w:cs="Arial"/>
          <w:sz w:val="20"/>
          <w:szCs w:val="20"/>
        </w:rPr>
        <w:t>,</w:t>
      </w:r>
      <w:r w:rsidR="00814C06" w:rsidRPr="00126D6C">
        <w:rPr>
          <w:rFonts w:ascii="Arial" w:hAnsi="Arial" w:cs="Arial"/>
          <w:sz w:val="20"/>
          <w:szCs w:val="20"/>
        </w:rPr>
        <w:t xml:space="preserve"> there is also a disparity between the funding of these two systems.</w:t>
      </w:r>
      <w:r w:rsidR="003154F7" w:rsidRPr="00126D6C">
        <w:rPr>
          <w:rFonts w:ascii="Arial" w:hAnsi="Arial" w:cs="Arial"/>
          <w:sz w:val="20"/>
          <w:szCs w:val="20"/>
        </w:rPr>
        <w:t xml:space="preserve"> </w:t>
      </w:r>
      <w:r w:rsidRPr="00126D6C">
        <w:rPr>
          <w:rFonts w:ascii="Arial" w:hAnsi="Arial" w:cs="Arial"/>
          <w:sz w:val="20"/>
          <w:szCs w:val="20"/>
        </w:rPr>
        <w:t>F</w:t>
      </w:r>
      <w:r w:rsidR="00814C06" w:rsidRPr="00126D6C">
        <w:rPr>
          <w:rFonts w:ascii="Arial" w:hAnsi="Arial" w:cs="Arial"/>
          <w:sz w:val="20"/>
          <w:szCs w:val="20"/>
        </w:rPr>
        <w:t>unding of the NHS is through general t</w:t>
      </w:r>
      <w:r w:rsidRPr="00126D6C">
        <w:rPr>
          <w:rFonts w:ascii="Arial" w:hAnsi="Arial" w:cs="Arial"/>
          <w:sz w:val="20"/>
          <w:szCs w:val="20"/>
        </w:rPr>
        <w:t xml:space="preserve">axation, yet funding for social </w:t>
      </w:r>
      <w:r w:rsidR="00814C06" w:rsidRPr="00126D6C">
        <w:rPr>
          <w:rFonts w:ascii="Arial" w:hAnsi="Arial" w:cs="Arial"/>
          <w:sz w:val="20"/>
          <w:szCs w:val="20"/>
        </w:rPr>
        <w:t>c</w:t>
      </w:r>
      <w:r w:rsidRPr="00126D6C">
        <w:rPr>
          <w:rFonts w:ascii="Arial" w:hAnsi="Arial" w:cs="Arial"/>
          <w:sz w:val="20"/>
          <w:szCs w:val="20"/>
        </w:rPr>
        <w:t>a</w:t>
      </w:r>
      <w:r w:rsidR="00814C06" w:rsidRPr="00126D6C">
        <w:rPr>
          <w:rFonts w:ascii="Arial" w:hAnsi="Arial" w:cs="Arial"/>
          <w:sz w:val="20"/>
          <w:szCs w:val="20"/>
        </w:rPr>
        <w:t xml:space="preserve">re is largely through the individual’s savings and housing wealth, unless they are eligible for means-tested benefits. Both the </w:t>
      </w:r>
      <w:r w:rsidR="00814C06" w:rsidRPr="00126D6C">
        <w:rPr>
          <w:rFonts w:ascii="Arial" w:hAnsi="Arial" w:cs="Arial"/>
          <w:sz w:val="20"/>
          <w:szCs w:val="20"/>
        </w:rPr>
        <w:lastRenderedPageBreak/>
        <w:t>health and social care systems already face a deficit</w:t>
      </w:r>
      <w:r w:rsidRPr="00126D6C">
        <w:rPr>
          <w:rFonts w:ascii="Arial" w:hAnsi="Arial" w:cs="Arial"/>
          <w:sz w:val="20"/>
          <w:szCs w:val="20"/>
        </w:rPr>
        <w:t xml:space="preserve"> based on what the Government has committed to spending over the rest of this Parliamentary term</w:t>
      </w:r>
      <w:r w:rsidR="001C146C" w:rsidRPr="00126D6C">
        <w:rPr>
          <w:rFonts w:ascii="Arial" w:hAnsi="Arial" w:cs="Arial"/>
          <w:sz w:val="20"/>
          <w:szCs w:val="20"/>
        </w:rPr>
        <w:t xml:space="preserve">. The integration </w:t>
      </w:r>
      <w:r w:rsidRPr="00126D6C">
        <w:rPr>
          <w:rFonts w:ascii="Arial" w:hAnsi="Arial" w:cs="Arial"/>
          <w:sz w:val="20"/>
          <w:szCs w:val="20"/>
        </w:rPr>
        <w:t xml:space="preserve">of the two systems creates an </w:t>
      </w:r>
      <w:r w:rsidR="001C146C" w:rsidRPr="00126D6C">
        <w:rPr>
          <w:rFonts w:ascii="Arial" w:hAnsi="Arial" w:cs="Arial"/>
          <w:sz w:val="20"/>
          <w:szCs w:val="20"/>
        </w:rPr>
        <w:t xml:space="preserve">opportunity for </w:t>
      </w:r>
      <w:r w:rsidRPr="00126D6C">
        <w:rPr>
          <w:rFonts w:ascii="Arial" w:hAnsi="Arial" w:cs="Arial"/>
          <w:sz w:val="20"/>
          <w:szCs w:val="20"/>
        </w:rPr>
        <w:t>debate</w:t>
      </w:r>
      <w:r w:rsidR="001C146C" w:rsidRPr="00126D6C">
        <w:rPr>
          <w:rFonts w:ascii="Arial" w:hAnsi="Arial" w:cs="Arial"/>
          <w:sz w:val="20"/>
          <w:szCs w:val="20"/>
        </w:rPr>
        <w:t xml:space="preserve"> about the balance between State provision and self-funding</w:t>
      </w:r>
      <w:r w:rsidRPr="00126D6C">
        <w:rPr>
          <w:rFonts w:ascii="Arial" w:hAnsi="Arial" w:cs="Arial"/>
          <w:sz w:val="20"/>
          <w:szCs w:val="20"/>
        </w:rPr>
        <w:t xml:space="preserve"> across the health and care system</w:t>
      </w:r>
      <w:r w:rsidR="001C146C" w:rsidRPr="00126D6C">
        <w:rPr>
          <w:rFonts w:ascii="Arial" w:hAnsi="Arial" w:cs="Arial"/>
          <w:sz w:val="20"/>
          <w:szCs w:val="20"/>
        </w:rPr>
        <w:t>.</w:t>
      </w:r>
      <w:r w:rsidR="00FC4963" w:rsidRPr="00FC4963">
        <w:rPr>
          <w:rFonts w:ascii="Arial" w:hAnsi="Arial" w:cs="Arial"/>
          <w:sz w:val="20"/>
          <w:szCs w:val="20"/>
        </w:rPr>
        <w:t xml:space="preserve"> </w:t>
      </w:r>
    </w:p>
    <w:p w14:paraId="6494C932" w14:textId="77777777" w:rsidR="001C146C" w:rsidRPr="00FC4963" w:rsidRDefault="001C146C" w:rsidP="00FC4963">
      <w:pPr>
        <w:pStyle w:val="ListParagraph"/>
        <w:spacing w:after="0"/>
        <w:ind w:left="1440"/>
        <w:rPr>
          <w:rFonts w:ascii="Arial" w:hAnsi="Arial" w:cs="Arial"/>
          <w:sz w:val="20"/>
          <w:szCs w:val="20"/>
        </w:rPr>
      </w:pPr>
    </w:p>
    <w:p w14:paraId="786BD689" w14:textId="2DB61943" w:rsidR="00682175" w:rsidRPr="00126D6C" w:rsidRDefault="001C146C" w:rsidP="00F14EEC">
      <w:pPr>
        <w:pStyle w:val="ListParagraph"/>
        <w:numPr>
          <w:ilvl w:val="0"/>
          <w:numId w:val="11"/>
        </w:numPr>
        <w:autoSpaceDE w:val="0"/>
        <w:autoSpaceDN w:val="0"/>
        <w:adjustRightInd w:val="0"/>
        <w:spacing w:after="0"/>
        <w:rPr>
          <w:rFonts w:ascii="Arial" w:hAnsi="Arial" w:cs="Arial"/>
          <w:sz w:val="20"/>
          <w:szCs w:val="20"/>
        </w:rPr>
      </w:pPr>
      <w:r w:rsidRPr="00126D6C">
        <w:rPr>
          <w:rFonts w:ascii="Arial" w:hAnsi="Arial" w:cs="Arial"/>
          <w:sz w:val="20"/>
          <w:szCs w:val="20"/>
        </w:rPr>
        <w:t xml:space="preserve">For these reasons, we have </w:t>
      </w:r>
      <w:r w:rsidR="0084560E" w:rsidRPr="00126D6C">
        <w:rPr>
          <w:rFonts w:ascii="Arial" w:hAnsi="Arial" w:cs="Arial"/>
          <w:sz w:val="20"/>
          <w:szCs w:val="20"/>
        </w:rPr>
        <w:t>focus</w:t>
      </w:r>
      <w:r w:rsidRPr="00126D6C">
        <w:rPr>
          <w:rFonts w:ascii="Arial" w:hAnsi="Arial" w:cs="Arial"/>
          <w:sz w:val="20"/>
          <w:szCs w:val="20"/>
        </w:rPr>
        <w:t>ed our response</w:t>
      </w:r>
      <w:r w:rsidR="0084560E" w:rsidRPr="00126D6C">
        <w:rPr>
          <w:rFonts w:ascii="Arial" w:hAnsi="Arial" w:cs="Arial"/>
          <w:sz w:val="20"/>
          <w:szCs w:val="20"/>
        </w:rPr>
        <w:t xml:space="preserve"> on</w:t>
      </w:r>
      <w:r w:rsidRPr="00126D6C">
        <w:rPr>
          <w:rFonts w:ascii="Arial" w:hAnsi="Arial" w:cs="Arial"/>
          <w:sz w:val="20"/>
          <w:szCs w:val="20"/>
        </w:rPr>
        <w:t xml:space="preserve"> how the Government might strike a</w:t>
      </w:r>
      <w:r w:rsidR="0084560E" w:rsidRPr="00126D6C">
        <w:rPr>
          <w:rFonts w:ascii="Arial" w:hAnsi="Arial" w:cs="Arial"/>
          <w:sz w:val="20"/>
          <w:szCs w:val="20"/>
        </w:rPr>
        <w:t xml:space="preserve"> </w:t>
      </w:r>
      <w:r w:rsidR="00682175" w:rsidRPr="00126D6C">
        <w:rPr>
          <w:rFonts w:ascii="Arial" w:hAnsi="Arial" w:cs="Arial"/>
          <w:sz w:val="20"/>
          <w:szCs w:val="20"/>
        </w:rPr>
        <w:t>balance</w:t>
      </w:r>
      <w:r w:rsidR="0084560E" w:rsidRPr="00126D6C">
        <w:rPr>
          <w:rFonts w:ascii="Arial" w:hAnsi="Arial" w:cs="Arial"/>
          <w:sz w:val="20"/>
          <w:szCs w:val="20"/>
        </w:rPr>
        <w:t xml:space="preserve"> between Government and individual funding to meet</w:t>
      </w:r>
      <w:r w:rsidR="008C4A72" w:rsidRPr="00126D6C">
        <w:rPr>
          <w:rFonts w:ascii="Arial" w:hAnsi="Arial" w:cs="Arial"/>
          <w:sz w:val="20"/>
          <w:szCs w:val="20"/>
        </w:rPr>
        <w:t xml:space="preserve"> health and</w:t>
      </w:r>
      <w:r w:rsidR="0084560E" w:rsidRPr="00126D6C">
        <w:rPr>
          <w:rFonts w:ascii="Arial" w:hAnsi="Arial" w:cs="Arial"/>
          <w:sz w:val="20"/>
          <w:szCs w:val="20"/>
        </w:rPr>
        <w:t xml:space="preserve"> care needs</w:t>
      </w:r>
      <w:r w:rsidRPr="00126D6C">
        <w:rPr>
          <w:rFonts w:ascii="Arial" w:hAnsi="Arial" w:cs="Arial"/>
          <w:sz w:val="20"/>
          <w:szCs w:val="20"/>
        </w:rPr>
        <w:t xml:space="preserve"> within a sustainable framework</w:t>
      </w:r>
      <w:r w:rsidR="0084560E" w:rsidRPr="00126D6C">
        <w:rPr>
          <w:rFonts w:ascii="Arial" w:hAnsi="Arial" w:cs="Arial"/>
          <w:sz w:val="20"/>
          <w:szCs w:val="20"/>
        </w:rPr>
        <w:t xml:space="preserve">. </w:t>
      </w:r>
      <w:r w:rsidR="00682175" w:rsidRPr="00126D6C">
        <w:rPr>
          <w:rFonts w:ascii="Arial" w:hAnsi="Arial" w:cs="Arial"/>
          <w:sz w:val="20"/>
          <w:szCs w:val="20"/>
        </w:rPr>
        <w:t>Financial services can play a role in helping self-funders to meet their care costs</w:t>
      </w:r>
      <w:r w:rsidRPr="00126D6C">
        <w:rPr>
          <w:rFonts w:ascii="Arial" w:hAnsi="Arial" w:cs="Arial"/>
          <w:sz w:val="20"/>
          <w:szCs w:val="20"/>
        </w:rPr>
        <w:t xml:space="preserve"> and the IFoA has completed a series of research</w:t>
      </w:r>
      <w:r w:rsidR="00041D68">
        <w:rPr>
          <w:rFonts w:ascii="Arial" w:hAnsi="Arial" w:cs="Arial"/>
          <w:sz w:val="20"/>
          <w:szCs w:val="20"/>
        </w:rPr>
        <w:t xml:space="preserve"> papers</w:t>
      </w:r>
      <w:r w:rsidR="008C4A72" w:rsidRPr="00126D6C">
        <w:rPr>
          <w:rFonts w:ascii="Arial" w:hAnsi="Arial" w:cs="Arial"/>
          <w:sz w:val="20"/>
          <w:szCs w:val="20"/>
        </w:rPr>
        <w:t>,</w:t>
      </w:r>
      <w:r w:rsidRPr="00126D6C">
        <w:rPr>
          <w:rFonts w:ascii="Arial" w:hAnsi="Arial" w:cs="Arial"/>
          <w:sz w:val="20"/>
          <w:szCs w:val="20"/>
        </w:rPr>
        <w:t xml:space="preserve"> </w:t>
      </w:r>
      <w:r w:rsidR="008C4A72" w:rsidRPr="00126D6C">
        <w:rPr>
          <w:rFonts w:ascii="Arial" w:hAnsi="Arial" w:cs="Arial"/>
          <w:sz w:val="20"/>
          <w:szCs w:val="20"/>
        </w:rPr>
        <w:t xml:space="preserve">which we have detailed in this response, </w:t>
      </w:r>
      <w:r w:rsidRPr="00126D6C">
        <w:rPr>
          <w:rFonts w:ascii="Arial" w:hAnsi="Arial" w:cs="Arial"/>
          <w:sz w:val="20"/>
          <w:szCs w:val="20"/>
        </w:rPr>
        <w:t xml:space="preserve">on how this market might develop in a way that is complementary to </w:t>
      </w:r>
      <w:r w:rsidR="008C4A72" w:rsidRPr="00126D6C">
        <w:rPr>
          <w:rFonts w:ascii="Arial" w:hAnsi="Arial" w:cs="Arial"/>
          <w:sz w:val="20"/>
          <w:szCs w:val="20"/>
        </w:rPr>
        <w:t>Government funding</w:t>
      </w:r>
      <w:r w:rsidRPr="00126D6C">
        <w:rPr>
          <w:rFonts w:ascii="Arial" w:hAnsi="Arial" w:cs="Arial"/>
          <w:sz w:val="20"/>
          <w:szCs w:val="20"/>
        </w:rPr>
        <w:t>.</w:t>
      </w:r>
      <w:r w:rsidR="00682175" w:rsidRPr="00126D6C">
        <w:rPr>
          <w:rFonts w:ascii="Arial" w:hAnsi="Arial" w:cs="Arial"/>
          <w:sz w:val="20"/>
          <w:szCs w:val="20"/>
        </w:rPr>
        <w:t xml:space="preserve"> </w:t>
      </w:r>
      <w:r w:rsidR="00BC58A4">
        <w:rPr>
          <w:rFonts w:ascii="Arial" w:hAnsi="Arial" w:cs="Arial"/>
          <w:sz w:val="20"/>
          <w:szCs w:val="20"/>
        </w:rPr>
        <w:t>We would welcome the opportunity to share this with the Committee and discuss it in further detail.</w:t>
      </w:r>
    </w:p>
    <w:p w14:paraId="05801FCF" w14:textId="77777777" w:rsidR="008C4A72" w:rsidRPr="00126D6C" w:rsidRDefault="008C4A72" w:rsidP="004956CA">
      <w:pPr>
        <w:spacing w:after="0"/>
        <w:rPr>
          <w:rFonts w:ascii="Arial" w:hAnsi="Arial" w:cs="Arial"/>
          <w:b/>
          <w:sz w:val="20"/>
          <w:szCs w:val="20"/>
        </w:rPr>
      </w:pPr>
    </w:p>
    <w:p w14:paraId="38CBA41E" w14:textId="4EB1C983" w:rsidR="00E924B4" w:rsidRPr="00126D6C" w:rsidRDefault="00E924B4" w:rsidP="004956CA">
      <w:pPr>
        <w:spacing w:after="0"/>
        <w:rPr>
          <w:rFonts w:ascii="Arial" w:hAnsi="Arial" w:cs="Arial"/>
          <w:b/>
          <w:sz w:val="20"/>
          <w:szCs w:val="20"/>
        </w:rPr>
      </w:pPr>
      <w:r w:rsidRPr="00126D6C">
        <w:rPr>
          <w:rFonts w:ascii="Arial" w:hAnsi="Arial" w:cs="Arial"/>
          <w:b/>
          <w:sz w:val="20"/>
          <w:szCs w:val="20"/>
        </w:rPr>
        <w:t>Resourcing issues</w:t>
      </w:r>
    </w:p>
    <w:p w14:paraId="1F510844" w14:textId="77777777" w:rsidR="008C4A72" w:rsidRPr="00126D6C" w:rsidRDefault="008C4A72" w:rsidP="004956CA">
      <w:pPr>
        <w:spacing w:after="0"/>
        <w:rPr>
          <w:rFonts w:ascii="Arial" w:hAnsi="Arial" w:cs="Arial"/>
          <w:b/>
          <w:sz w:val="20"/>
          <w:szCs w:val="20"/>
        </w:rPr>
      </w:pPr>
    </w:p>
    <w:p w14:paraId="61264A86" w14:textId="5FD14AB6" w:rsidR="008C4A72" w:rsidRPr="00126D6C" w:rsidRDefault="008C4A72" w:rsidP="004956CA">
      <w:pPr>
        <w:spacing w:after="0"/>
        <w:rPr>
          <w:rFonts w:ascii="Arial" w:hAnsi="Arial" w:cs="Arial"/>
          <w:i/>
          <w:sz w:val="20"/>
          <w:szCs w:val="20"/>
        </w:rPr>
      </w:pPr>
      <w:r w:rsidRPr="00126D6C">
        <w:rPr>
          <w:rFonts w:ascii="Arial" w:hAnsi="Arial" w:cs="Arial"/>
          <w:i/>
          <w:sz w:val="20"/>
          <w:szCs w:val="20"/>
        </w:rPr>
        <w:t>Q. What funding model(s) would best ensure financial stability and sustainability without compromising the quality of care?</w:t>
      </w:r>
    </w:p>
    <w:p w14:paraId="1C040451" w14:textId="77777777" w:rsidR="008C4A72" w:rsidRPr="00126D6C" w:rsidRDefault="008C4A72" w:rsidP="004956CA">
      <w:pPr>
        <w:spacing w:after="0"/>
        <w:rPr>
          <w:rFonts w:ascii="Arial" w:hAnsi="Arial" w:cs="Arial"/>
          <w:b/>
          <w:sz w:val="20"/>
          <w:szCs w:val="20"/>
        </w:rPr>
      </w:pPr>
    </w:p>
    <w:p w14:paraId="0002EA0D" w14:textId="55904D04" w:rsidR="0065029B" w:rsidRPr="00126D6C" w:rsidRDefault="0065029B" w:rsidP="004956CA">
      <w:pPr>
        <w:spacing w:after="0"/>
        <w:rPr>
          <w:rFonts w:ascii="Arial" w:hAnsi="Arial" w:cs="Arial"/>
          <w:i/>
          <w:sz w:val="20"/>
          <w:szCs w:val="20"/>
        </w:rPr>
      </w:pPr>
      <w:r w:rsidRPr="00126D6C">
        <w:rPr>
          <w:rFonts w:ascii="Arial" w:hAnsi="Arial" w:cs="Arial"/>
          <w:i/>
          <w:sz w:val="20"/>
          <w:szCs w:val="20"/>
        </w:rPr>
        <w:t>Q. What  is  the  scope  for  changes  to  current  funding  streams  such  as  a  hypothecated health tax, sin taxes, inheritance and  property taxes, new voluntary local taxes, and expansion on co-payments (with agreed exceptions)?</w:t>
      </w:r>
    </w:p>
    <w:p w14:paraId="1FCC8C15" w14:textId="77777777" w:rsidR="007B2EAD" w:rsidRPr="00126D6C" w:rsidRDefault="007B2EAD" w:rsidP="004956CA">
      <w:pPr>
        <w:spacing w:after="0"/>
        <w:rPr>
          <w:rFonts w:ascii="Arial" w:hAnsi="Arial" w:cs="Arial"/>
          <w:i/>
          <w:sz w:val="20"/>
          <w:szCs w:val="20"/>
        </w:rPr>
      </w:pPr>
    </w:p>
    <w:p w14:paraId="0526D028" w14:textId="6CDEFF3B" w:rsidR="007B2EAD" w:rsidRPr="00126D6C" w:rsidRDefault="007B2EAD" w:rsidP="00F14EEC">
      <w:pPr>
        <w:pStyle w:val="ListParagraph"/>
        <w:numPr>
          <w:ilvl w:val="0"/>
          <w:numId w:val="11"/>
        </w:numPr>
        <w:spacing w:after="0"/>
        <w:rPr>
          <w:rFonts w:ascii="Arial" w:hAnsi="Arial" w:cs="Arial"/>
          <w:sz w:val="20"/>
          <w:szCs w:val="20"/>
        </w:rPr>
      </w:pPr>
      <w:r w:rsidRPr="00126D6C">
        <w:rPr>
          <w:rFonts w:ascii="Arial" w:hAnsi="Arial" w:cs="Arial"/>
          <w:sz w:val="20"/>
          <w:szCs w:val="20"/>
        </w:rPr>
        <w:t xml:space="preserve">Our </w:t>
      </w:r>
      <w:r w:rsidR="004956CA" w:rsidRPr="00126D6C">
        <w:rPr>
          <w:rFonts w:ascii="Arial" w:hAnsi="Arial" w:cs="Arial"/>
          <w:sz w:val="20"/>
          <w:szCs w:val="20"/>
        </w:rPr>
        <w:t>analysis</w:t>
      </w:r>
      <w:r w:rsidRPr="00126D6C">
        <w:rPr>
          <w:rFonts w:ascii="Arial" w:hAnsi="Arial" w:cs="Arial"/>
          <w:sz w:val="20"/>
          <w:szCs w:val="20"/>
        </w:rPr>
        <w:t xml:space="preserve"> of international funding systems could be of use to the Committee in addressing both of the questions highlighted above.</w:t>
      </w:r>
    </w:p>
    <w:p w14:paraId="59A5841E" w14:textId="24A15E37" w:rsidR="004956CA" w:rsidRPr="00126D6C" w:rsidRDefault="004956CA" w:rsidP="00F14EEC">
      <w:pPr>
        <w:pStyle w:val="ListParagraph"/>
        <w:numPr>
          <w:ilvl w:val="1"/>
          <w:numId w:val="11"/>
        </w:numPr>
        <w:autoSpaceDE w:val="0"/>
        <w:autoSpaceDN w:val="0"/>
        <w:adjustRightInd w:val="0"/>
        <w:spacing w:after="0"/>
        <w:rPr>
          <w:rFonts w:ascii="Arial" w:hAnsi="Arial" w:cs="Arial"/>
          <w:sz w:val="20"/>
          <w:szCs w:val="20"/>
        </w:rPr>
      </w:pPr>
      <w:r w:rsidRPr="00126D6C">
        <w:rPr>
          <w:rFonts w:ascii="Arial" w:hAnsi="Arial" w:cs="Arial"/>
          <w:sz w:val="20"/>
          <w:szCs w:val="20"/>
        </w:rPr>
        <w:t>In France</w:t>
      </w:r>
      <w:r w:rsidR="009D3C7B" w:rsidRPr="00126D6C">
        <w:rPr>
          <w:rFonts w:ascii="Arial" w:hAnsi="Arial" w:cs="Arial"/>
          <w:sz w:val="20"/>
          <w:szCs w:val="20"/>
        </w:rPr>
        <w:t>,</w:t>
      </w:r>
      <w:r w:rsidRPr="00126D6C">
        <w:rPr>
          <w:rFonts w:ascii="Arial" w:hAnsi="Arial" w:cs="Arial"/>
          <w:sz w:val="20"/>
          <w:szCs w:val="20"/>
        </w:rPr>
        <w:t xml:space="preserve"> local governments fund around 70 percent of the care budget, with the remaining 30 percent being funded by central government. Central government funding is through employers’ social security contributions, as well as general taxation, with additional funding coming from France’s Solidarity Day. On Solidarity Day, employees donate their earnings from that day to fund care. </w:t>
      </w:r>
      <w:r w:rsidR="008D3AE2" w:rsidRPr="00126D6C">
        <w:rPr>
          <w:rFonts w:ascii="Arial" w:hAnsi="Arial" w:cs="Arial"/>
          <w:sz w:val="20"/>
          <w:szCs w:val="20"/>
        </w:rPr>
        <w:t xml:space="preserve">This Government-led public awareness campaign has </w:t>
      </w:r>
      <w:r w:rsidR="00BC58A4">
        <w:rPr>
          <w:rFonts w:ascii="Arial" w:hAnsi="Arial" w:cs="Arial"/>
          <w:sz w:val="20"/>
          <w:szCs w:val="20"/>
        </w:rPr>
        <w:t xml:space="preserve">also </w:t>
      </w:r>
      <w:r w:rsidR="008D3AE2" w:rsidRPr="00126D6C">
        <w:rPr>
          <w:rFonts w:ascii="Arial" w:hAnsi="Arial" w:cs="Arial"/>
          <w:sz w:val="20"/>
          <w:szCs w:val="20"/>
        </w:rPr>
        <w:t xml:space="preserve">led to a growth in private insurance. Less than 1% of care spending in 2007 was from private insurance provision, but by </w:t>
      </w:r>
      <w:r w:rsidR="00DE1B85" w:rsidRPr="00126D6C">
        <w:rPr>
          <w:rFonts w:ascii="Arial" w:hAnsi="Arial" w:cs="Arial"/>
          <w:sz w:val="20"/>
          <w:szCs w:val="20"/>
        </w:rPr>
        <w:t>2010,</w:t>
      </w:r>
      <w:r w:rsidR="008D3AE2" w:rsidRPr="00126D6C">
        <w:rPr>
          <w:rFonts w:ascii="Arial" w:hAnsi="Arial" w:cs="Arial"/>
          <w:sz w:val="20"/>
          <w:szCs w:val="20"/>
        </w:rPr>
        <w:t xml:space="preserve"> 15% of the population, aged over 40, had a care policy. This growth has been mostly attributed to the public becoming more aware of the risks and costs involved</w:t>
      </w:r>
      <w:r w:rsidR="00BC58A4">
        <w:rPr>
          <w:rFonts w:ascii="Arial" w:hAnsi="Arial" w:cs="Arial"/>
          <w:sz w:val="20"/>
          <w:szCs w:val="20"/>
        </w:rPr>
        <w:t>,</w:t>
      </w:r>
      <w:r w:rsidR="008D3AE2" w:rsidRPr="00126D6C">
        <w:rPr>
          <w:rFonts w:ascii="Arial" w:hAnsi="Arial" w:cs="Arial"/>
          <w:sz w:val="20"/>
          <w:szCs w:val="20"/>
        </w:rPr>
        <w:t xml:space="preserve"> </w:t>
      </w:r>
      <w:r w:rsidR="00BC58A4">
        <w:rPr>
          <w:rFonts w:ascii="Arial" w:hAnsi="Arial" w:cs="Arial"/>
          <w:sz w:val="20"/>
          <w:szCs w:val="20"/>
        </w:rPr>
        <w:t>as well as</w:t>
      </w:r>
      <w:r w:rsidR="008D3AE2" w:rsidRPr="00126D6C">
        <w:rPr>
          <w:rFonts w:ascii="Arial" w:hAnsi="Arial" w:cs="Arial"/>
          <w:sz w:val="20"/>
          <w:szCs w:val="20"/>
        </w:rPr>
        <w:t xml:space="preserve"> the gaps in public provision.</w:t>
      </w:r>
    </w:p>
    <w:p w14:paraId="3DCA695C" w14:textId="3DF3E672" w:rsidR="004956CA" w:rsidRPr="00126D6C" w:rsidRDefault="004956CA" w:rsidP="00F14EEC">
      <w:pPr>
        <w:pStyle w:val="ListParagraph"/>
        <w:numPr>
          <w:ilvl w:val="1"/>
          <w:numId w:val="11"/>
        </w:numPr>
        <w:autoSpaceDE w:val="0"/>
        <w:autoSpaceDN w:val="0"/>
        <w:adjustRightInd w:val="0"/>
        <w:spacing w:after="0"/>
        <w:rPr>
          <w:rFonts w:ascii="Arial" w:hAnsi="Arial" w:cs="Arial"/>
          <w:sz w:val="20"/>
          <w:szCs w:val="20"/>
        </w:rPr>
      </w:pPr>
      <w:r w:rsidRPr="00126D6C">
        <w:rPr>
          <w:rFonts w:ascii="Arial" w:hAnsi="Arial" w:cs="Arial"/>
          <w:sz w:val="20"/>
          <w:szCs w:val="20"/>
        </w:rPr>
        <w:t xml:space="preserve">In Germany, there </w:t>
      </w:r>
      <w:r w:rsidR="0020373F">
        <w:rPr>
          <w:rFonts w:ascii="Arial" w:hAnsi="Arial" w:cs="Arial"/>
          <w:sz w:val="20"/>
          <w:szCs w:val="20"/>
        </w:rPr>
        <w:t>is</w:t>
      </w:r>
      <w:r w:rsidRPr="00126D6C">
        <w:rPr>
          <w:rFonts w:ascii="Arial" w:hAnsi="Arial" w:cs="Arial"/>
          <w:sz w:val="20"/>
          <w:szCs w:val="20"/>
        </w:rPr>
        <w:t xml:space="preserve"> a mixture of social and private insurance schemes. Compulsory social insurance was introduced in 1995. However, those with higher incomes, civil servants and the self-employed may opt for private insurance instead of the social insurance. Contributions to social insurance are split between the individual and the employer. Th</w:t>
      </w:r>
      <w:r w:rsidR="002133BD">
        <w:rPr>
          <w:rFonts w:ascii="Arial" w:hAnsi="Arial" w:cs="Arial"/>
          <w:sz w:val="20"/>
          <w:szCs w:val="20"/>
        </w:rPr>
        <w:t>is</w:t>
      </w:r>
      <w:r w:rsidRPr="00126D6C">
        <w:rPr>
          <w:rFonts w:ascii="Arial" w:hAnsi="Arial" w:cs="Arial"/>
          <w:sz w:val="20"/>
          <w:szCs w:val="20"/>
        </w:rPr>
        <w:t xml:space="preserve"> structure enables both public and private systems to sit alongside one another.</w:t>
      </w:r>
    </w:p>
    <w:p w14:paraId="1938CEEF" w14:textId="57D5A7D8" w:rsidR="004956CA" w:rsidRPr="00126D6C" w:rsidRDefault="002133BD" w:rsidP="00F14EEC">
      <w:pPr>
        <w:pStyle w:val="ListParagraph"/>
        <w:numPr>
          <w:ilvl w:val="1"/>
          <w:numId w:val="11"/>
        </w:numPr>
        <w:autoSpaceDE w:val="0"/>
        <w:autoSpaceDN w:val="0"/>
        <w:adjustRightInd w:val="0"/>
        <w:spacing w:after="0"/>
        <w:rPr>
          <w:rFonts w:ascii="Arial" w:hAnsi="Arial" w:cs="Arial"/>
          <w:sz w:val="20"/>
          <w:szCs w:val="20"/>
        </w:rPr>
      </w:pPr>
      <w:r>
        <w:rPr>
          <w:rFonts w:ascii="Arial" w:hAnsi="Arial" w:cs="Arial"/>
          <w:sz w:val="20"/>
          <w:szCs w:val="20"/>
        </w:rPr>
        <w:t>In 2000, Japan created a</w:t>
      </w:r>
      <w:r w:rsidR="004956CA" w:rsidRPr="00126D6C">
        <w:rPr>
          <w:rFonts w:ascii="Arial" w:hAnsi="Arial" w:cs="Arial"/>
          <w:sz w:val="20"/>
          <w:szCs w:val="20"/>
        </w:rPr>
        <w:t xml:space="preserve"> care social insurance programme</w:t>
      </w:r>
      <w:r>
        <w:rPr>
          <w:rFonts w:ascii="Arial" w:hAnsi="Arial" w:cs="Arial"/>
          <w:sz w:val="20"/>
          <w:szCs w:val="20"/>
        </w:rPr>
        <w:t>.</w:t>
      </w:r>
      <w:r w:rsidR="004956CA" w:rsidRPr="00126D6C">
        <w:rPr>
          <w:rFonts w:ascii="Arial" w:hAnsi="Arial" w:cs="Arial"/>
          <w:sz w:val="20"/>
          <w:szCs w:val="20"/>
        </w:rPr>
        <w:t xml:space="preserve"> </w:t>
      </w:r>
      <w:r>
        <w:rPr>
          <w:rFonts w:ascii="Arial" w:hAnsi="Arial" w:cs="Arial"/>
          <w:sz w:val="20"/>
          <w:szCs w:val="20"/>
        </w:rPr>
        <w:t>This programme</w:t>
      </w:r>
      <w:r w:rsidR="004956CA" w:rsidRPr="00126D6C">
        <w:rPr>
          <w:rFonts w:ascii="Arial" w:hAnsi="Arial" w:cs="Arial"/>
          <w:sz w:val="20"/>
          <w:szCs w:val="20"/>
        </w:rPr>
        <w:t xml:space="preserve"> covers domiciliary and residential care and the benefits are set nationally. It is compulsory for those over 40 years of age to contribute and it offers access to social care for those aged over 65. The level of contribution is dependent on income, but the benefit is dependent on need, as opposed to being means-tested.</w:t>
      </w:r>
    </w:p>
    <w:p w14:paraId="33675881" w14:textId="3436CB9C" w:rsidR="004956CA" w:rsidRPr="00126D6C" w:rsidRDefault="004956CA" w:rsidP="00F14EEC">
      <w:pPr>
        <w:pStyle w:val="ListParagraph"/>
        <w:numPr>
          <w:ilvl w:val="1"/>
          <w:numId w:val="11"/>
        </w:numPr>
        <w:autoSpaceDE w:val="0"/>
        <w:autoSpaceDN w:val="0"/>
        <w:adjustRightInd w:val="0"/>
        <w:spacing w:after="0"/>
        <w:rPr>
          <w:rFonts w:ascii="Arial" w:hAnsi="Arial" w:cs="Arial"/>
          <w:sz w:val="20"/>
          <w:szCs w:val="20"/>
        </w:rPr>
      </w:pPr>
      <w:r w:rsidRPr="00126D6C">
        <w:rPr>
          <w:rFonts w:ascii="Arial" w:hAnsi="Arial" w:cs="Arial"/>
          <w:sz w:val="20"/>
          <w:szCs w:val="20"/>
        </w:rPr>
        <w:t xml:space="preserve">The Netherlands set up a publicly funded scheme to ensure no one had high expenses for meeting care needs. However, this has undergone review as costs have </w:t>
      </w:r>
      <w:r w:rsidR="00041D68">
        <w:rPr>
          <w:rFonts w:ascii="Arial" w:hAnsi="Arial" w:cs="Arial"/>
          <w:sz w:val="20"/>
          <w:szCs w:val="20"/>
        </w:rPr>
        <w:t>risen</w:t>
      </w:r>
      <w:r w:rsidRPr="00126D6C">
        <w:rPr>
          <w:rFonts w:ascii="Arial" w:hAnsi="Arial" w:cs="Arial"/>
          <w:sz w:val="20"/>
          <w:szCs w:val="20"/>
        </w:rPr>
        <w:t xml:space="preserve"> by 66</w:t>
      </w:r>
      <w:r w:rsidR="009D3C7B" w:rsidRPr="00126D6C">
        <w:rPr>
          <w:rFonts w:ascii="Arial" w:hAnsi="Arial" w:cs="Arial"/>
          <w:sz w:val="20"/>
          <w:szCs w:val="20"/>
        </w:rPr>
        <w:t xml:space="preserve"> percent</w:t>
      </w:r>
      <w:r w:rsidRPr="00126D6C">
        <w:rPr>
          <w:rFonts w:ascii="Arial" w:hAnsi="Arial" w:cs="Arial"/>
          <w:sz w:val="20"/>
          <w:szCs w:val="20"/>
        </w:rPr>
        <w:t xml:space="preserve"> from €14bn to €23bn between 2000 and 2010</w:t>
      </w:r>
      <w:r w:rsidR="00041D68">
        <w:rPr>
          <w:rFonts w:ascii="Arial" w:hAnsi="Arial" w:cs="Arial"/>
          <w:sz w:val="20"/>
          <w:szCs w:val="20"/>
        </w:rPr>
        <w:t>.</w:t>
      </w:r>
      <w:r w:rsidRPr="00126D6C">
        <w:rPr>
          <w:rFonts w:ascii="Arial" w:hAnsi="Arial" w:cs="Arial"/>
          <w:sz w:val="20"/>
          <w:szCs w:val="20"/>
        </w:rPr>
        <w:t>This has meant the system has been in constant flux.</w:t>
      </w:r>
    </w:p>
    <w:p w14:paraId="1EBB10C0" w14:textId="55BAB7C7" w:rsidR="004956CA" w:rsidRPr="00126D6C" w:rsidRDefault="004956CA" w:rsidP="00F14EEC">
      <w:pPr>
        <w:pStyle w:val="ListParagraph"/>
        <w:numPr>
          <w:ilvl w:val="1"/>
          <w:numId w:val="11"/>
        </w:numPr>
        <w:autoSpaceDE w:val="0"/>
        <w:autoSpaceDN w:val="0"/>
        <w:adjustRightInd w:val="0"/>
        <w:spacing w:after="0"/>
        <w:rPr>
          <w:rFonts w:ascii="Arial" w:hAnsi="Arial" w:cs="Arial"/>
          <w:sz w:val="20"/>
          <w:szCs w:val="20"/>
        </w:rPr>
      </w:pPr>
      <w:r w:rsidRPr="00126D6C">
        <w:rPr>
          <w:rFonts w:ascii="Arial" w:hAnsi="Arial" w:cs="Arial"/>
          <w:sz w:val="20"/>
          <w:szCs w:val="20"/>
        </w:rPr>
        <w:t>Medicaid</w:t>
      </w:r>
      <w:r w:rsidR="009D3C7B" w:rsidRPr="00126D6C">
        <w:rPr>
          <w:rFonts w:ascii="Arial" w:hAnsi="Arial" w:cs="Arial"/>
          <w:sz w:val="20"/>
          <w:szCs w:val="20"/>
        </w:rPr>
        <w:t xml:space="preserve"> in the US</w:t>
      </w:r>
      <w:r w:rsidRPr="00126D6C">
        <w:rPr>
          <w:rFonts w:ascii="Arial" w:hAnsi="Arial" w:cs="Arial"/>
          <w:sz w:val="20"/>
          <w:szCs w:val="20"/>
        </w:rPr>
        <w:t xml:space="preserve"> is funded through general taxation and is a means-tested welfare programme for the poorest</w:t>
      </w:r>
      <w:r w:rsidR="0020373F">
        <w:rPr>
          <w:rFonts w:ascii="Arial" w:hAnsi="Arial" w:cs="Arial"/>
          <w:sz w:val="20"/>
          <w:szCs w:val="20"/>
        </w:rPr>
        <w:t>.</w:t>
      </w:r>
      <w:r w:rsidR="00041D68">
        <w:rPr>
          <w:rFonts w:ascii="Arial" w:hAnsi="Arial" w:cs="Arial"/>
          <w:sz w:val="20"/>
          <w:szCs w:val="20"/>
        </w:rPr>
        <w:t xml:space="preserve"> </w:t>
      </w:r>
      <w:r w:rsidR="0020373F">
        <w:rPr>
          <w:rFonts w:ascii="Arial" w:hAnsi="Arial" w:cs="Arial"/>
          <w:sz w:val="20"/>
          <w:szCs w:val="20"/>
        </w:rPr>
        <w:t>T</w:t>
      </w:r>
      <w:r w:rsidRPr="00126D6C">
        <w:rPr>
          <w:rFonts w:ascii="Arial" w:hAnsi="Arial" w:cs="Arial"/>
          <w:sz w:val="20"/>
          <w:szCs w:val="20"/>
        </w:rPr>
        <w:t>he private insu</w:t>
      </w:r>
      <w:r w:rsidR="009D3C7B" w:rsidRPr="00126D6C">
        <w:rPr>
          <w:rFonts w:ascii="Arial" w:hAnsi="Arial" w:cs="Arial"/>
          <w:sz w:val="20"/>
          <w:szCs w:val="20"/>
        </w:rPr>
        <w:t xml:space="preserve">rance market is relatively </w:t>
      </w:r>
      <w:r w:rsidR="00DE1B85" w:rsidRPr="00126D6C">
        <w:rPr>
          <w:rFonts w:ascii="Arial" w:hAnsi="Arial" w:cs="Arial"/>
          <w:sz w:val="20"/>
          <w:szCs w:val="20"/>
        </w:rPr>
        <w:t>well developed</w:t>
      </w:r>
      <w:r w:rsidRPr="00126D6C">
        <w:rPr>
          <w:rFonts w:ascii="Arial" w:hAnsi="Arial" w:cs="Arial"/>
          <w:sz w:val="20"/>
          <w:szCs w:val="20"/>
        </w:rPr>
        <w:t xml:space="preserve"> with products covering both domiciliary and residential care. The 2010 Affordable </w:t>
      </w:r>
      <w:r w:rsidRPr="00126D6C">
        <w:rPr>
          <w:rFonts w:ascii="Arial" w:hAnsi="Arial" w:cs="Arial"/>
          <w:sz w:val="20"/>
          <w:szCs w:val="20"/>
        </w:rPr>
        <w:lastRenderedPageBreak/>
        <w:t>Care Act regulates and subsidises health insurance to make it more affordable and as of 2016, large employers have to provide health-coverage to full</w:t>
      </w:r>
      <w:r w:rsidR="0020373F">
        <w:rPr>
          <w:rFonts w:ascii="Arial" w:hAnsi="Arial" w:cs="Arial"/>
          <w:sz w:val="20"/>
          <w:szCs w:val="20"/>
        </w:rPr>
        <w:t>-</w:t>
      </w:r>
      <w:r w:rsidRPr="00126D6C">
        <w:rPr>
          <w:rFonts w:ascii="Arial" w:hAnsi="Arial" w:cs="Arial"/>
          <w:sz w:val="20"/>
          <w:szCs w:val="20"/>
        </w:rPr>
        <w:t>time workers.</w:t>
      </w:r>
      <w:r w:rsidRPr="00126D6C">
        <w:rPr>
          <w:rStyle w:val="FootnoteReference"/>
          <w:rFonts w:ascii="Arial" w:hAnsi="Arial" w:cs="Arial"/>
          <w:sz w:val="20"/>
          <w:szCs w:val="20"/>
        </w:rPr>
        <w:footnoteReference w:id="8"/>
      </w:r>
    </w:p>
    <w:p w14:paraId="500DA23D" w14:textId="77777777" w:rsidR="004956CA" w:rsidRPr="00126D6C" w:rsidRDefault="004956CA" w:rsidP="004956CA">
      <w:pPr>
        <w:pStyle w:val="ListParagraph"/>
        <w:autoSpaceDE w:val="0"/>
        <w:autoSpaceDN w:val="0"/>
        <w:adjustRightInd w:val="0"/>
        <w:spacing w:after="0"/>
        <w:ind w:left="1440"/>
        <w:rPr>
          <w:rFonts w:ascii="Arial" w:hAnsi="Arial" w:cs="Arial"/>
          <w:sz w:val="20"/>
          <w:szCs w:val="20"/>
        </w:rPr>
      </w:pPr>
    </w:p>
    <w:p w14:paraId="3F6B0C88" w14:textId="302E74D7" w:rsidR="00041D68" w:rsidRDefault="004956CA" w:rsidP="00F14EEC">
      <w:pPr>
        <w:pStyle w:val="ListParagraph"/>
        <w:numPr>
          <w:ilvl w:val="0"/>
          <w:numId w:val="11"/>
        </w:numPr>
        <w:autoSpaceDE w:val="0"/>
        <w:autoSpaceDN w:val="0"/>
        <w:adjustRightInd w:val="0"/>
        <w:spacing w:after="0"/>
        <w:rPr>
          <w:rFonts w:ascii="Arial" w:hAnsi="Arial" w:cs="Arial"/>
          <w:sz w:val="20"/>
          <w:szCs w:val="20"/>
        </w:rPr>
      </w:pPr>
      <w:r w:rsidRPr="00126D6C">
        <w:rPr>
          <w:rFonts w:ascii="Arial" w:hAnsi="Arial" w:cs="Arial"/>
          <w:sz w:val="20"/>
          <w:szCs w:val="20"/>
        </w:rPr>
        <w:t>Our conclusions from this research are that whilst Japan and the Netherlands have taken an approach that has a greater emphasis on publicly funded provision</w:t>
      </w:r>
      <w:r w:rsidR="002133BD">
        <w:rPr>
          <w:rFonts w:ascii="Arial" w:hAnsi="Arial" w:cs="Arial"/>
          <w:sz w:val="20"/>
          <w:szCs w:val="20"/>
        </w:rPr>
        <w:t xml:space="preserve"> for care</w:t>
      </w:r>
      <w:r w:rsidRPr="00126D6C">
        <w:rPr>
          <w:rFonts w:ascii="Arial" w:hAnsi="Arial" w:cs="Arial"/>
          <w:sz w:val="20"/>
          <w:szCs w:val="20"/>
        </w:rPr>
        <w:t xml:space="preserve">, an approach that aligns with the NHS funding model, the costs associated with this, particularly in the Netherlands, have led to a costly and potentially unsustainable system. </w:t>
      </w:r>
      <w:r w:rsidR="00DE1B85">
        <w:rPr>
          <w:rFonts w:ascii="Arial" w:hAnsi="Arial" w:cs="Arial"/>
          <w:sz w:val="20"/>
          <w:szCs w:val="20"/>
        </w:rPr>
        <w:t>Therefore treating social care the same as health care, and being funded through taxation could result in greater proportion of the Government’s budget being spent on health and care than is already the case. The Government should consider whether this would be sustainable in the long-term when integrating health and care.</w:t>
      </w:r>
    </w:p>
    <w:p w14:paraId="29241C78" w14:textId="77777777" w:rsidR="00041D68" w:rsidRDefault="00041D68" w:rsidP="00041D68">
      <w:pPr>
        <w:pStyle w:val="ListParagraph"/>
        <w:autoSpaceDE w:val="0"/>
        <w:autoSpaceDN w:val="0"/>
        <w:adjustRightInd w:val="0"/>
        <w:spacing w:after="0"/>
        <w:rPr>
          <w:rFonts w:ascii="Arial" w:hAnsi="Arial" w:cs="Arial"/>
          <w:sz w:val="20"/>
          <w:szCs w:val="20"/>
        </w:rPr>
      </w:pPr>
    </w:p>
    <w:p w14:paraId="095103DA" w14:textId="49FFB45C" w:rsidR="00163707" w:rsidRPr="00126D6C" w:rsidRDefault="004956CA" w:rsidP="00F14EEC">
      <w:pPr>
        <w:pStyle w:val="ListParagraph"/>
        <w:numPr>
          <w:ilvl w:val="0"/>
          <w:numId w:val="11"/>
        </w:numPr>
        <w:autoSpaceDE w:val="0"/>
        <w:autoSpaceDN w:val="0"/>
        <w:adjustRightInd w:val="0"/>
        <w:spacing w:after="0"/>
        <w:rPr>
          <w:rFonts w:ascii="Arial" w:hAnsi="Arial" w:cs="Arial"/>
          <w:sz w:val="20"/>
          <w:szCs w:val="20"/>
        </w:rPr>
      </w:pPr>
      <w:r w:rsidRPr="00126D6C">
        <w:rPr>
          <w:rFonts w:ascii="Arial" w:hAnsi="Arial" w:cs="Arial"/>
          <w:sz w:val="20"/>
          <w:szCs w:val="20"/>
        </w:rPr>
        <w:t>On the other hand, the US has taken steps to increase private provision by creating a health insurance market that is affordable for consumers</w:t>
      </w:r>
      <w:r w:rsidR="00041D68">
        <w:rPr>
          <w:rFonts w:ascii="Arial" w:hAnsi="Arial" w:cs="Arial"/>
          <w:sz w:val="20"/>
          <w:szCs w:val="20"/>
        </w:rPr>
        <w:t>.</w:t>
      </w:r>
      <w:r w:rsidRPr="00126D6C">
        <w:rPr>
          <w:rFonts w:ascii="Arial" w:hAnsi="Arial" w:cs="Arial"/>
          <w:sz w:val="20"/>
          <w:szCs w:val="20"/>
        </w:rPr>
        <w:t xml:space="preserve"> </w:t>
      </w:r>
      <w:r w:rsidR="00041D68">
        <w:rPr>
          <w:rFonts w:ascii="Arial" w:hAnsi="Arial" w:cs="Arial"/>
          <w:sz w:val="20"/>
          <w:szCs w:val="20"/>
        </w:rPr>
        <w:t>B</w:t>
      </w:r>
      <w:r w:rsidR="00CA2F8C">
        <w:rPr>
          <w:rFonts w:ascii="Arial" w:hAnsi="Arial" w:cs="Arial"/>
          <w:sz w:val="20"/>
          <w:szCs w:val="20"/>
        </w:rPr>
        <w:t xml:space="preserve">y </w:t>
      </w:r>
      <w:r w:rsidR="00041D68">
        <w:rPr>
          <w:rFonts w:ascii="Arial" w:hAnsi="Arial" w:cs="Arial"/>
          <w:sz w:val="20"/>
          <w:szCs w:val="20"/>
        </w:rPr>
        <w:t>contrast,</w:t>
      </w:r>
      <w:r w:rsidR="00CA2F8C">
        <w:rPr>
          <w:rFonts w:ascii="Arial" w:hAnsi="Arial" w:cs="Arial"/>
          <w:sz w:val="20"/>
          <w:szCs w:val="20"/>
        </w:rPr>
        <w:t xml:space="preserve"> </w:t>
      </w:r>
      <w:r w:rsidRPr="00126D6C">
        <w:rPr>
          <w:rFonts w:ascii="Arial" w:hAnsi="Arial" w:cs="Arial"/>
          <w:sz w:val="20"/>
          <w:szCs w:val="20"/>
        </w:rPr>
        <w:t>the market for long-term care financial products has been slow to develop in England</w:t>
      </w:r>
      <w:r w:rsidR="002133BD">
        <w:rPr>
          <w:rFonts w:ascii="Arial" w:hAnsi="Arial" w:cs="Arial"/>
          <w:sz w:val="20"/>
          <w:szCs w:val="20"/>
        </w:rPr>
        <w:t xml:space="preserve"> where these products </w:t>
      </w:r>
      <w:r w:rsidR="009822D6">
        <w:rPr>
          <w:rFonts w:ascii="Arial" w:hAnsi="Arial" w:cs="Arial"/>
          <w:sz w:val="20"/>
          <w:szCs w:val="20"/>
        </w:rPr>
        <w:t xml:space="preserve">are seen as </w:t>
      </w:r>
      <w:r w:rsidR="002133BD">
        <w:rPr>
          <w:rFonts w:ascii="Arial" w:hAnsi="Arial" w:cs="Arial"/>
          <w:sz w:val="20"/>
          <w:szCs w:val="20"/>
        </w:rPr>
        <w:t>unaffordable for the majority of people</w:t>
      </w:r>
      <w:r w:rsidRPr="00126D6C">
        <w:rPr>
          <w:rFonts w:ascii="Arial" w:hAnsi="Arial" w:cs="Arial"/>
          <w:sz w:val="20"/>
          <w:szCs w:val="20"/>
        </w:rPr>
        <w:t xml:space="preserve">. Germany has achieved a system where public and private funding sit side-by-side and where employers also contribute. The German system mirrors the UK’s approach to auto-enrolment, where there has been success in driving up the number of people saving for </w:t>
      </w:r>
      <w:r w:rsidR="00041D68">
        <w:rPr>
          <w:rFonts w:ascii="Arial" w:hAnsi="Arial" w:cs="Arial"/>
          <w:sz w:val="20"/>
          <w:szCs w:val="20"/>
        </w:rPr>
        <w:t>their retirement</w:t>
      </w:r>
      <w:r w:rsidRPr="00126D6C">
        <w:rPr>
          <w:rFonts w:ascii="Arial" w:hAnsi="Arial" w:cs="Arial"/>
          <w:sz w:val="20"/>
          <w:szCs w:val="20"/>
        </w:rPr>
        <w:t>. Perhaps a similar app</w:t>
      </w:r>
      <w:r w:rsidR="00DE1B85">
        <w:rPr>
          <w:rFonts w:ascii="Arial" w:hAnsi="Arial" w:cs="Arial"/>
          <w:sz w:val="20"/>
          <w:szCs w:val="20"/>
        </w:rPr>
        <w:t>roach could be adopted for care. Both of these examples highlight that there is a key role for the Government in increasing levels of saving for care and in stimulating a market that is affordable.</w:t>
      </w:r>
    </w:p>
    <w:p w14:paraId="6C180E0E" w14:textId="77777777" w:rsidR="008D3AE2" w:rsidRPr="00126D6C" w:rsidRDefault="008D3AE2" w:rsidP="008D3AE2">
      <w:pPr>
        <w:autoSpaceDE w:val="0"/>
        <w:autoSpaceDN w:val="0"/>
        <w:adjustRightInd w:val="0"/>
        <w:spacing w:after="0"/>
        <w:rPr>
          <w:rFonts w:ascii="Arial" w:hAnsi="Arial" w:cs="Arial"/>
          <w:sz w:val="20"/>
          <w:szCs w:val="20"/>
        </w:rPr>
      </w:pPr>
    </w:p>
    <w:p w14:paraId="435FC101" w14:textId="0B31AC0F" w:rsidR="00C17217" w:rsidRPr="00126D6C" w:rsidRDefault="008D3AE2" w:rsidP="00F14EEC">
      <w:pPr>
        <w:pStyle w:val="ListParagraph"/>
        <w:numPr>
          <w:ilvl w:val="0"/>
          <w:numId w:val="11"/>
        </w:numPr>
        <w:autoSpaceDE w:val="0"/>
        <w:autoSpaceDN w:val="0"/>
        <w:adjustRightInd w:val="0"/>
        <w:spacing w:after="0"/>
        <w:rPr>
          <w:rFonts w:ascii="Arial" w:hAnsi="Arial" w:cs="Arial"/>
          <w:sz w:val="20"/>
          <w:szCs w:val="20"/>
        </w:rPr>
      </w:pPr>
      <w:r w:rsidRPr="00126D6C">
        <w:rPr>
          <w:rFonts w:ascii="Arial" w:hAnsi="Arial" w:cs="Arial"/>
          <w:sz w:val="20"/>
          <w:szCs w:val="20"/>
        </w:rPr>
        <w:t>Fina</w:t>
      </w:r>
      <w:r w:rsidR="002133BD">
        <w:rPr>
          <w:rFonts w:ascii="Arial" w:hAnsi="Arial" w:cs="Arial"/>
          <w:sz w:val="20"/>
          <w:szCs w:val="20"/>
        </w:rPr>
        <w:t xml:space="preserve">lly, France managed to </w:t>
      </w:r>
      <w:r w:rsidRPr="00126D6C">
        <w:rPr>
          <w:rFonts w:ascii="Arial" w:hAnsi="Arial" w:cs="Arial"/>
          <w:sz w:val="20"/>
          <w:szCs w:val="20"/>
        </w:rPr>
        <w:t>significantly</w:t>
      </w:r>
      <w:r w:rsidR="002133BD">
        <w:rPr>
          <w:rFonts w:ascii="Arial" w:hAnsi="Arial" w:cs="Arial"/>
          <w:sz w:val="20"/>
          <w:szCs w:val="20"/>
        </w:rPr>
        <w:t xml:space="preserve"> increase</w:t>
      </w:r>
      <w:r w:rsidRPr="00126D6C">
        <w:rPr>
          <w:rFonts w:ascii="Arial" w:hAnsi="Arial" w:cs="Arial"/>
          <w:sz w:val="20"/>
          <w:szCs w:val="20"/>
        </w:rPr>
        <w:t xml:space="preserve"> the amount of private provision for care through a Government-led public awareness campaign. </w:t>
      </w:r>
      <w:r w:rsidR="004956CA" w:rsidRPr="00126D6C">
        <w:rPr>
          <w:rFonts w:ascii="Arial" w:hAnsi="Arial" w:cs="Arial"/>
          <w:sz w:val="20"/>
          <w:szCs w:val="20"/>
        </w:rPr>
        <w:t xml:space="preserve">In the Care Act 2014, for the first time the </w:t>
      </w:r>
      <w:r w:rsidR="00CA2F8C">
        <w:rPr>
          <w:rFonts w:ascii="Arial" w:hAnsi="Arial" w:cs="Arial"/>
          <w:sz w:val="20"/>
          <w:szCs w:val="20"/>
        </w:rPr>
        <w:t xml:space="preserve">UK </w:t>
      </w:r>
      <w:r w:rsidR="004956CA" w:rsidRPr="00126D6C">
        <w:rPr>
          <w:rFonts w:ascii="Arial" w:hAnsi="Arial" w:cs="Arial"/>
          <w:sz w:val="20"/>
          <w:szCs w:val="20"/>
        </w:rPr>
        <w:t xml:space="preserve">Government legislated for changes to the current system with the aim of encouraging innovation in this market. The lack of market response was cited as one of the reasons for the deferral of these reforms to 2020. If the Government genuinely wants people to be aware that they may have to fund care needs themselves and to make provisions then </w:t>
      </w:r>
      <w:r w:rsidR="00CA2F8C">
        <w:rPr>
          <w:rFonts w:ascii="Arial" w:hAnsi="Arial" w:cs="Arial"/>
          <w:sz w:val="20"/>
          <w:szCs w:val="20"/>
        </w:rPr>
        <w:t xml:space="preserve">we believe </w:t>
      </w:r>
      <w:r w:rsidR="00C17217" w:rsidRPr="00126D6C">
        <w:rPr>
          <w:rFonts w:ascii="Arial" w:hAnsi="Arial" w:cs="Arial"/>
          <w:sz w:val="20"/>
          <w:szCs w:val="20"/>
        </w:rPr>
        <w:t>the following needs to happen:</w:t>
      </w:r>
    </w:p>
    <w:p w14:paraId="58FA6E79" w14:textId="05B72C93" w:rsidR="0065029B" w:rsidRPr="00126D6C" w:rsidRDefault="005A79CF" w:rsidP="00F14EEC">
      <w:pPr>
        <w:pStyle w:val="ListParagraph"/>
        <w:numPr>
          <w:ilvl w:val="1"/>
          <w:numId w:val="11"/>
        </w:numPr>
        <w:autoSpaceDE w:val="0"/>
        <w:autoSpaceDN w:val="0"/>
        <w:adjustRightInd w:val="0"/>
        <w:spacing w:after="0"/>
        <w:rPr>
          <w:rFonts w:ascii="Arial" w:hAnsi="Arial" w:cs="Arial"/>
          <w:sz w:val="20"/>
          <w:szCs w:val="20"/>
        </w:rPr>
      </w:pPr>
      <w:r w:rsidRPr="00126D6C">
        <w:rPr>
          <w:rFonts w:ascii="Arial" w:hAnsi="Arial" w:cs="Arial"/>
          <w:sz w:val="20"/>
          <w:szCs w:val="20"/>
        </w:rPr>
        <w:t xml:space="preserve">Widespread public engagement is needed to create the scale of demand required for any financial product solutions to develop that are commercially viable. </w:t>
      </w:r>
    </w:p>
    <w:p w14:paraId="73B355F3" w14:textId="3B1FD276" w:rsidR="00C17217" w:rsidRPr="00126D6C" w:rsidRDefault="00C17217" w:rsidP="00F14EEC">
      <w:pPr>
        <w:pStyle w:val="ListParagraph"/>
        <w:numPr>
          <w:ilvl w:val="1"/>
          <w:numId w:val="11"/>
        </w:numPr>
        <w:autoSpaceDE w:val="0"/>
        <w:autoSpaceDN w:val="0"/>
        <w:adjustRightInd w:val="0"/>
        <w:spacing w:after="0"/>
        <w:rPr>
          <w:rFonts w:ascii="Arial" w:hAnsi="Arial" w:cs="Arial"/>
          <w:sz w:val="20"/>
          <w:szCs w:val="20"/>
        </w:rPr>
      </w:pPr>
      <w:r w:rsidRPr="00126D6C">
        <w:rPr>
          <w:rFonts w:ascii="Arial" w:hAnsi="Arial" w:cs="Arial"/>
          <w:sz w:val="20"/>
          <w:szCs w:val="20"/>
        </w:rPr>
        <w:t>Savers must be incentivised</w:t>
      </w:r>
      <w:r w:rsidR="00CA2F8C">
        <w:rPr>
          <w:rFonts w:ascii="Arial" w:hAnsi="Arial" w:cs="Arial"/>
          <w:sz w:val="20"/>
          <w:szCs w:val="20"/>
        </w:rPr>
        <w:t>,</w:t>
      </w:r>
      <w:r w:rsidRPr="00126D6C">
        <w:rPr>
          <w:rFonts w:ascii="Arial" w:hAnsi="Arial" w:cs="Arial"/>
          <w:sz w:val="20"/>
          <w:szCs w:val="20"/>
        </w:rPr>
        <w:t xml:space="preserve"> not penalised.</w:t>
      </w:r>
    </w:p>
    <w:p w14:paraId="5F35B48E" w14:textId="77777777" w:rsidR="005A79CF" w:rsidRPr="00126D6C" w:rsidRDefault="005A79CF" w:rsidP="005A79CF">
      <w:pPr>
        <w:pStyle w:val="ListParagraph"/>
        <w:autoSpaceDE w:val="0"/>
        <w:autoSpaceDN w:val="0"/>
        <w:adjustRightInd w:val="0"/>
        <w:spacing w:after="0"/>
        <w:ind w:left="1440"/>
        <w:rPr>
          <w:rFonts w:ascii="Arial" w:hAnsi="Arial" w:cs="Arial"/>
          <w:sz w:val="20"/>
          <w:szCs w:val="20"/>
        </w:rPr>
      </w:pPr>
    </w:p>
    <w:p w14:paraId="0AD9A894" w14:textId="1BE77C08" w:rsidR="0065029B" w:rsidRPr="00126D6C" w:rsidRDefault="0065029B" w:rsidP="004956CA">
      <w:pPr>
        <w:spacing w:after="0"/>
        <w:rPr>
          <w:rFonts w:ascii="Arial" w:hAnsi="Arial" w:cs="Arial"/>
          <w:i/>
          <w:sz w:val="20"/>
          <w:szCs w:val="20"/>
        </w:rPr>
      </w:pPr>
      <w:r w:rsidRPr="00126D6C">
        <w:rPr>
          <w:rFonts w:ascii="Arial" w:hAnsi="Arial" w:cs="Arial"/>
          <w:i/>
          <w:sz w:val="20"/>
          <w:szCs w:val="20"/>
        </w:rPr>
        <w:t xml:space="preserve">Q. Should  the  scope  of  what  is  free  at  the  point  of  use  be  more  tightly  drawn?  For instance, could certain procedures be removed from the NHS or made available on a means-tested basis, or could continuing care be made means-tested with a </w:t>
      </w:r>
      <w:proofErr w:type="spellStart"/>
      <w:r w:rsidRPr="00126D6C">
        <w:rPr>
          <w:rFonts w:ascii="Arial" w:hAnsi="Arial" w:cs="Arial"/>
          <w:i/>
          <w:sz w:val="20"/>
          <w:szCs w:val="20"/>
        </w:rPr>
        <w:t>Dilnot</w:t>
      </w:r>
      <w:proofErr w:type="spellEnd"/>
      <w:r w:rsidRPr="00126D6C">
        <w:rPr>
          <w:rFonts w:ascii="Arial" w:hAnsi="Arial" w:cs="Arial"/>
          <w:i/>
          <w:sz w:val="20"/>
          <w:szCs w:val="20"/>
        </w:rPr>
        <w:t>-style cap?</w:t>
      </w:r>
    </w:p>
    <w:p w14:paraId="33317922" w14:textId="1A198FD2" w:rsidR="0065029B" w:rsidRPr="00126D6C" w:rsidRDefault="0065029B" w:rsidP="004956CA">
      <w:pPr>
        <w:spacing w:after="0"/>
        <w:rPr>
          <w:rFonts w:ascii="Arial" w:hAnsi="Arial" w:cs="Arial"/>
          <w:b/>
          <w:sz w:val="20"/>
          <w:szCs w:val="20"/>
        </w:rPr>
      </w:pPr>
    </w:p>
    <w:p w14:paraId="7496A800" w14:textId="0BA2779F" w:rsidR="0065029B" w:rsidRPr="00126D6C" w:rsidRDefault="0065029B" w:rsidP="00F14EEC">
      <w:pPr>
        <w:pStyle w:val="ListParagraph"/>
        <w:numPr>
          <w:ilvl w:val="0"/>
          <w:numId w:val="11"/>
        </w:numPr>
        <w:autoSpaceDE w:val="0"/>
        <w:autoSpaceDN w:val="0"/>
        <w:adjustRightInd w:val="0"/>
        <w:spacing w:after="0"/>
        <w:rPr>
          <w:rFonts w:ascii="Arial" w:hAnsi="Arial" w:cs="Arial"/>
          <w:sz w:val="20"/>
          <w:szCs w:val="20"/>
        </w:rPr>
      </w:pPr>
      <w:r w:rsidRPr="00126D6C">
        <w:rPr>
          <w:rFonts w:ascii="Arial" w:hAnsi="Arial" w:cs="Arial"/>
          <w:sz w:val="20"/>
          <w:szCs w:val="20"/>
        </w:rPr>
        <w:t xml:space="preserve">If the Government is looking to individuals to meet more of their care costs then it is important that the system incentivises, and does not penalise, savers. </w:t>
      </w:r>
      <w:r w:rsidR="001A149A" w:rsidRPr="00126D6C">
        <w:rPr>
          <w:rFonts w:ascii="Arial" w:hAnsi="Arial" w:cs="Arial"/>
          <w:sz w:val="20"/>
          <w:szCs w:val="20"/>
        </w:rPr>
        <w:t xml:space="preserve">In our most recent report we highlight </w:t>
      </w:r>
      <w:r w:rsidR="009822D6">
        <w:rPr>
          <w:rFonts w:ascii="Arial" w:hAnsi="Arial" w:cs="Arial"/>
          <w:sz w:val="20"/>
          <w:szCs w:val="20"/>
        </w:rPr>
        <w:t xml:space="preserve">that </w:t>
      </w:r>
      <w:r w:rsidR="001A149A" w:rsidRPr="00126D6C">
        <w:rPr>
          <w:rFonts w:ascii="Arial" w:hAnsi="Arial" w:cs="Arial"/>
          <w:sz w:val="20"/>
          <w:szCs w:val="20"/>
        </w:rPr>
        <w:t xml:space="preserve">the current means testing system </w:t>
      </w:r>
      <w:r w:rsidRPr="00126D6C">
        <w:rPr>
          <w:rFonts w:ascii="Arial" w:hAnsi="Arial" w:cs="Arial"/>
          <w:sz w:val="20"/>
          <w:szCs w:val="20"/>
        </w:rPr>
        <w:t xml:space="preserve">for social care </w:t>
      </w:r>
      <w:r w:rsidR="001A149A" w:rsidRPr="00126D6C">
        <w:rPr>
          <w:rFonts w:ascii="Arial" w:hAnsi="Arial" w:cs="Arial"/>
          <w:sz w:val="20"/>
          <w:szCs w:val="20"/>
        </w:rPr>
        <w:t>could act as a</w:t>
      </w:r>
      <w:r w:rsidRPr="00126D6C">
        <w:rPr>
          <w:rFonts w:ascii="Arial" w:hAnsi="Arial" w:cs="Arial"/>
          <w:sz w:val="20"/>
          <w:szCs w:val="20"/>
        </w:rPr>
        <w:t xml:space="preserve"> </w:t>
      </w:r>
      <w:r w:rsidR="001A149A" w:rsidRPr="00126D6C">
        <w:rPr>
          <w:rFonts w:ascii="Arial" w:hAnsi="Arial" w:cs="Arial"/>
          <w:sz w:val="20"/>
          <w:szCs w:val="20"/>
        </w:rPr>
        <w:t>disincentive to saving, in particular for those with assets between £20k and £40k</w:t>
      </w:r>
      <w:r w:rsidR="009822D6">
        <w:rPr>
          <w:rFonts w:ascii="Arial" w:hAnsi="Arial" w:cs="Arial"/>
          <w:sz w:val="20"/>
          <w:szCs w:val="20"/>
        </w:rPr>
        <w:t>.F</w:t>
      </w:r>
      <w:r w:rsidR="001A149A" w:rsidRPr="00126D6C">
        <w:rPr>
          <w:rFonts w:ascii="Arial" w:hAnsi="Arial" w:cs="Arial"/>
          <w:sz w:val="20"/>
          <w:szCs w:val="20"/>
        </w:rPr>
        <w:t>or every</w:t>
      </w:r>
      <w:r w:rsidRPr="00126D6C">
        <w:rPr>
          <w:rFonts w:ascii="Arial" w:hAnsi="Arial" w:cs="Arial"/>
          <w:sz w:val="20"/>
          <w:szCs w:val="20"/>
        </w:rPr>
        <w:t xml:space="preserve"> </w:t>
      </w:r>
      <w:r w:rsidR="001A149A" w:rsidRPr="00126D6C">
        <w:rPr>
          <w:rFonts w:ascii="Arial" w:hAnsi="Arial" w:cs="Arial"/>
          <w:sz w:val="20"/>
          <w:szCs w:val="20"/>
        </w:rPr>
        <w:t>£1 they save, 80p of means test benefits will be lost. The new thresholds set out in the Care</w:t>
      </w:r>
      <w:r w:rsidRPr="00126D6C">
        <w:rPr>
          <w:rFonts w:ascii="Arial" w:hAnsi="Arial" w:cs="Arial"/>
          <w:sz w:val="20"/>
          <w:szCs w:val="20"/>
        </w:rPr>
        <w:t xml:space="preserve"> </w:t>
      </w:r>
      <w:r w:rsidR="001A149A" w:rsidRPr="00126D6C">
        <w:rPr>
          <w:rFonts w:ascii="Arial" w:hAnsi="Arial" w:cs="Arial"/>
          <w:sz w:val="20"/>
          <w:szCs w:val="20"/>
        </w:rPr>
        <w:t>Act provide a greater level of reward for savers with this dropping to 50p for every additional</w:t>
      </w:r>
      <w:r w:rsidRPr="00126D6C">
        <w:rPr>
          <w:rFonts w:ascii="Arial" w:hAnsi="Arial" w:cs="Arial"/>
          <w:sz w:val="20"/>
          <w:szCs w:val="20"/>
        </w:rPr>
        <w:t xml:space="preserve"> </w:t>
      </w:r>
      <w:r w:rsidR="001A149A" w:rsidRPr="00126D6C">
        <w:rPr>
          <w:rFonts w:ascii="Arial" w:hAnsi="Arial" w:cs="Arial"/>
          <w:sz w:val="20"/>
          <w:szCs w:val="20"/>
        </w:rPr>
        <w:t>£1 saved.</w:t>
      </w:r>
      <w:r w:rsidR="007B2EAD" w:rsidRPr="00126D6C">
        <w:rPr>
          <w:rStyle w:val="FootnoteReference"/>
          <w:rFonts w:ascii="Arial" w:hAnsi="Arial" w:cs="Arial"/>
          <w:sz w:val="20"/>
          <w:szCs w:val="20"/>
        </w:rPr>
        <w:footnoteReference w:id="9"/>
      </w:r>
      <w:r w:rsidR="001A149A" w:rsidRPr="00126D6C">
        <w:rPr>
          <w:rFonts w:ascii="Arial" w:hAnsi="Arial" w:cs="Arial"/>
          <w:sz w:val="20"/>
          <w:szCs w:val="20"/>
        </w:rPr>
        <w:t xml:space="preserve"> </w:t>
      </w:r>
    </w:p>
    <w:p w14:paraId="7A44B771" w14:textId="77777777" w:rsidR="0065029B" w:rsidRPr="00126D6C" w:rsidRDefault="0065029B" w:rsidP="004956CA">
      <w:pPr>
        <w:pStyle w:val="ListParagraph"/>
        <w:autoSpaceDE w:val="0"/>
        <w:autoSpaceDN w:val="0"/>
        <w:adjustRightInd w:val="0"/>
        <w:spacing w:after="0"/>
        <w:rPr>
          <w:rFonts w:ascii="Arial" w:hAnsi="Arial" w:cs="Arial"/>
          <w:sz w:val="20"/>
          <w:szCs w:val="20"/>
        </w:rPr>
      </w:pPr>
    </w:p>
    <w:p w14:paraId="7D9612ED" w14:textId="361484C2" w:rsidR="001A149A" w:rsidRPr="002133BD" w:rsidRDefault="0065029B" w:rsidP="002133BD">
      <w:pPr>
        <w:pStyle w:val="ListParagraph"/>
        <w:numPr>
          <w:ilvl w:val="0"/>
          <w:numId w:val="11"/>
        </w:numPr>
        <w:autoSpaceDE w:val="0"/>
        <w:autoSpaceDN w:val="0"/>
        <w:adjustRightInd w:val="0"/>
        <w:spacing w:after="0"/>
        <w:rPr>
          <w:rFonts w:ascii="Arial" w:hAnsi="Arial" w:cs="Arial"/>
          <w:sz w:val="20"/>
          <w:szCs w:val="20"/>
        </w:rPr>
      </w:pPr>
      <w:r w:rsidRPr="007C05C4">
        <w:rPr>
          <w:rFonts w:ascii="Arial" w:hAnsi="Arial" w:cs="Arial"/>
          <w:sz w:val="20"/>
          <w:szCs w:val="20"/>
        </w:rPr>
        <w:t xml:space="preserve">We therefore suggest that should the Committee recommend a means-tested approach that it considers the impact on savers. </w:t>
      </w:r>
      <w:r w:rsidR="001A149A" w:rsidRPr="007C05C4">
        <w:rPr>
          <w:rFonts w:ascii="Arial" w:hAnsi="Arial" w:cs="Arial"/>
          <w:sz w:val="20"/>
          <w:szCs w:val="20"/>
        </w:rPr>
        <w:t xml:space="preserve">One solution </w:t>
      </w:r>
      <w:r w:rsidRPr="007C05C4">
        <w:rPr>
          <w:rFonts w:ascii="Arial" w:hAnsi="Arial" w:cs="Arial"/>
          <w:sz w:val="20"/>
          <w:szCs w:val="20"/>
        </w:rPr>
        <w:t>c</w:t>
      </w:r>
      <w:r w:rsidR="001A149A" w:rsidRPr="007C05C4">
        <w:rPr>
          <w:rFonts w:ascii="Arial" w:hAnsi="Arial" w:cs="Arial"/>
          <w:sz w:val="20"/>
          <w:szCs w:val="20"/>
        </w:rPr>
        <w:t>ould be the introduction of a new category of financial products that allow savings to be exempt from the means test up to a specified threshold. This cost could be met by removing existing loopholes to the financial assessment that allow a person to qualify for means testing benefits whilst having significant assets saved.</w:t>
      </w:r>
      <w:r w:rsidR="002133BD">
        <w:rPr>
          <w:rFonts w:ascii="Arial" w:hAnsi="Arial" w:cs="Arial"/>
          <w:sz w:val="20"/>
          <w:szCs w:val="20"/>
        </w:rPr>
        <w:t xml:space="preserve"> </w:t>
      </w:r>
      <w:r w:rsidR="007C05C4" w:rsidRPr="002133BD">
        <w:rPr>
          <w:rFonts w:ascii="Arial" w:hAnsi="Arial" w:cs="Arial"/>
          <w:sz w:val="20"/>
          <w:szCs w:val="20"/>
        </w:rPr>
        <w:t>The kind of products in scope (to the extent they are used or earmarked for health and social care costs) would potentially be pension savings, ISAs, equity release from property and any new products which may come from market innovation e.g. disability-linked annuities. Tax incentives for personal saving for health and social care needs could also be considered, for example, allowing withdrawals from pension saving to be tax free if used for such health or social care needs.</w:t>
      </w:r>
    </w:p>
    <w:p w14:paraId="4E05945B" w14:textId="77777777" w:rsidR="0065029B" w:rsidRPr="00126D6C" w:rsidRDefault="0065029B" w:rsidP="004956CA">
      <w:pPr>
        <w:pStyle w:val="ListParagraph"/>
        <w:rPr>
          <w:rFonts w:ascii="Arial" w:hAnsi="Arial" w:cs="Arial"/>
          <w:sz w:val="20"/>
          <w:szCs w:val="20"/>
        </w:rPr>
      </w:pPr>
    </w:p>
    <w:p w14:paraId="60DB096D" w14:textId="72D3BCC4" w:rsidR="0065029B" w:rsidRPr="007C05C4" w:rsidRDefault="0065029B" w:rsidP="00F14EEC">
      <w:pPr>
        <w:pStyle w:val="ListParagraph"/>
        <w:numPr>
          <w:ilvl w:val="0"/>
          <w:numId w:val="11"/>
        </w:numPr>
        <w:autoSpaceDE w:val="0"/>
        <w:autoSpaceDN w:val="0"/>
        <w:adjustRightInd w:val="0"/>
        <w:spacing w:after="0"/>
        <w:rPr>
          <w:rFonts w:ascii="Arial" w:hAnsi="Arial" w:cs="Arial"/>
          <w:sz w:val="20"/>
          <w:szCs w:val="20"/>
        </w:rPr>
      </w:pPr>
      <w:r w:rsidRPr="007C05C4">
        <w:rPr>
          <w:rFonts w:ascii="Arial" w:hAnsi="Arial" w:cs="Arial"/>
          <w:sz w:val="20"/>
          <w:szCs w:val="20"/>
        </w:rPr>
        <w:t xml:space="preserve">We also suggest that before the Committee recommends a </w:t>
      </w:r>
      <w:proofErr w:type="spellStart"/>
      <w:r w:rsidRPr="007C05C4">
        <w:rPr>
          <w:rFonts w:ascii="Arial" w:hAnsi="Arial" w:cs="Arial"/>
          <w:sz w:val="20"/>
          <w:szCs w:val="20"/>
        </w:rPr>
        <w:t>Dilnot</w:t>
      </w:r>
      <w:proofErr w:type="spellEnd"/>
      <w:r w:rsidRPr="007C05C4">
        <w:rPr>
          <w:rFonts w:ascii="Arial" w:hAnsi="Arial" w:cs="Arial"/>
          <w:sz w:val="20"/>
          <w:szCs w:val="20"/>
        </w:rPr>
        <w:t>-style cap</w:t>
      </w:r>
      <w:r w:rsidR="002133BD">
        <w:rPr>
          <w:rFonts w:ascii="Arial" w:hAnsi="Arial" w:cs="Arial"/>
          <w:sz w:val="20"/>
          <w:szCs w:val="20"/>
        </w:rPr>
        <w:t xml:space="preserve"> continues to be pursued,</w:t>
      </w:r>
      <w:r w:rsidRPr="007C05C4">
        <w:rPr>
          <w:rFonts w:ascii="Arial" w:hAnsi="Arial" w:cs="Arial"/>
          <w:sz w:val="20"/>
          <w:szCs w:val="20"/>
        </w:rPr>
        <w:t xml:space="preserve"> that it also recommends that an assessment </w:t>
      </w:r>
      <w:r w:rsidR="005C3B5C" w:rsidRPr="007C05C4">
        <w:rPr>
          <w:rFonts w:ascii="Arial" w:hAnsi="Arial" w:cs="Arial"/>
          <w:sz w:val="20"/>
          <w:szCs w:val="20"/>
        </w:rPr>
        <w:t>be</w:t>
      </w:r>
      <w:r w:rsidRPr="007C05C4">
        <w:rPr>
          <w:rFonts w:ascii="Arial" w:hAnsi="Arial" w:cs="Arial"/>
          <w:sz w:val="20"/>
          <w:szCs w:val="20"/>
        </w:rPr>
        <w:t xml:space="preserve"> completed on the level at which the cap is set</w:t>
      </w:r>
      <w:r w:rsidR="005C3B5C" w:rsidRPr="007C05C4">
        <w:rPr>
          <w:rFonts w:ascii="Arial" w:hAnsi="Arial" w:cs="Arial"/>
          <w:sz w:val="20"/>
          <w:szCs w:val="20"/>
        </w:rPr>
        <w:t>,</w:t>
      </w:r>
      <w:r w:rsidRPr="007C05C4">
        <w:rPr>
          <w:rFonts w:ascii="Arial" w:hAnsi="Arial" w:cs="Arial"/>
          <w:sz w:val="20"/>
          <w:szCs w:val="20"/>
        </w:rPr>
        <w:t xml:space="preserve"> to determine what proportion of the </w:t>
      </w:r>
      <w:r w:rsidR="007B2EAD" w:rsidRPr="007C05C4">
        <w:rPr>
          <w:rFonts w:ascii="Arial" w:hAnsi="Arial" w:cs="Arial"/>
          <w:sz w:val="20"/>
          <w:szCs w:val="20"/>
        </w:rPr>
        <w:t>population is likely to benefit</w:t>
      </w:r>
      <w:r w:rsidR="005C3B5C" w:rsidRPr="007C05C4">
        <w:rPr>
          <w:rFonts w:ascii="Arial" w:hAnsi="Arial" w:cs="Arial"/>
          <w:sz w:val="20"/>
          <w:szCs w:val="20"/>
        </w:rPr>
        <w:t>,</w:t>
      </w:r>
      <w:r w:rsidR="007B2EAD" w:rsidRPr="007C05C4">
        <w:rPr>
          <w:rFonts w:ascii="Arial" w:hAnsi="Arial" w:cs="Arial"/>
          <w:sz w:val="20"/>
          <w:szCs w:val="20"/>
        </w:rPr>
        <w:t xml:space="preserve"> as well as the potential overall cost to the Exchequer</w:t>
      </w:r>
      <w:r w:rsidRPr="007C05C4">
        <w:rPr>
          <w:rFonts w:ascii="Arial" w:hAnsi="Arial" w:cs="Arial"/>
          <w:sz w:val="20"/>
          <w:szCs w:val="20"/>
        </w:rPr>
        <w:t>. It should also be made clear what costs the cap covers to avoid any misunderstanding amongst the public.</w:t>
      </w:r>
      <w:r w:rsidR="007B2EAD" w:rsidRPr="007C05C4">
        <w:rPr>
          <w:rFonts w:ascii="Arial" w:hAnsi="Arial" w:cs="Arial"/>
          <w:sz w:val="20"/>
          <w:szCs w:val="20"/>
        </w:rPr>
        <w:t xml:space="preserve"> Our research on the Ca</w:t>
      </w:r>
      <w:r w:rsidR="005C3B5C" w:rsidRPr="007C05C4">
        <w:rPr>
          <w:rFonts w:ascii="Arial" w:hAnsi="Arial" w:cs="Arial"/>
          <w:sz w:val="20"/>
          <w:szCs w:val="20"/>
        </w:rPr>
        <w:t>re C</w:t>
      </w:r>
      <w:r w:rsidR="007B2EAD" w:rsidRPr="007C05C4">
        <w:rPr>
          <w:rFonts w:ascii="Arial" w:hAnsi="Arial" w:cs="Arial"/>
          <w:sz w:val="20"/>
          <w:szCs w:val="20"/>
        </w:rPr>
        <w:t xml:space="preserve">ap </w:t>
      </w:r>
      <w:r w:rsidR="005C3B5C" w:rsidRPr="007C05C4">
        <w:rPr>
          <w:rFonts w:ascii="Arial" w:hAnsi="Arial" w:cs="Arial"/>
          <w:sz w:val="20"/>
          <w:szCs w:val="20"/>
        </w:rPr>
        <w:t>legislated for</w:t>
      </w:r>
      <w:r w:rsidR="007B2EAD" w:rsidRPr="007C05C4">
        <w:rPr>
          <w:rFonts w:ascii="Arial" w:hAnsi="Arial" w:cs="Arial"/>
          <w:sz w:val="20"/>
          <w:szCs w:val="20"/>
        </w:rPr>
        <w:t xml:space="preserve"> in the Care Act 2014</w:t>
      </w:r>
      <w:r w:rsidR="005C3B5C" w:rsidRPr="007C05C4">
        <w:rPr>
          <w:rFonts w:ascii="Arial" w:hAnsi="Arial" w:cs="Arial"/>
          <w:sz w:val="20"/>
          <w:szCs w:val="20"/>
        </w:rPr>
        <w:t>,</w:t>
      </w:r>
      <w:r w:rsidR="007B2EAD" w:rsidRPr="007C05C4">
        <w:rPr>
          <w:rFonts w:ascii="Arial" w:hAnsi="Arial" w:cs="Arial"/>
          <w:sz w:val="20"/>
          <w:szCs w:val="20"/>
        </w:rPr>
        <w:t xml:space="preserve"> found that for individuals entering care at age 85 (typical age) around 8 percent of men and 15</w:t>
      </w:r>
      <w:r w:rsidR="005C3B5C" w:rsidRPr="007C05C4">
        <w:rPr>
          <w:rFonts w:ascii="Arial" w:hAnsi="Arial" w:cs="Arial"/>
          <w:sz w:val="20"/>
          <w:szCs w:val="20"/>
        </w:rPr>
        <w:t xml:space="preserve"> percent</w:t>
      </w:r>
      <w:r w:rsidR="007B2EAD" w:rsidRPr="007C05C4">
        <w:rPr>
          <w:rFonts w:ascii="Arial" w:hAnsi="Arial" w:cs="Arial"/>
          <w:sz w:val="20"/>
          <w:szCs w:val="20"/>
        </w:rPr>
        <w:t xml:space="preserve"> of women would benefit from the cap, and that on average they would have spent £140,000 before reaching the ‘£72,000 cap’.</w:t>
      </w:r>
      <w:r w:rsidR="007B2EAD" w:rsidRPr="00126D6C">
        <w:rPr>
          <w:rStyle w:val="FootnoteReference"/>
          <w:rFonts w:ascii="Arial" w:hAnsi="Arial" w:cs="Arial"/>
          <w:sz w:val="20"/>
          <w:szCs w:val="20"/>
        </w:rPr>
        <w:footnoteReference w:id="10"/>
      </w:r>
    </w:p>
    <w:p w14:paraId="10F86FE5" w14:textId="77777777" w:rsidR="007B2EAD" w:rsidRPr="00126D6C" w:rsidRDefault="007B2EAD" w:rsidP="004956CA">
      <w:pPr>
        <w:pStyle w:val="ListParagraph"/>
        <w:rPr>
          <w:rFonts w:ascii="Arial" w:hAnsi="Arial" w:cs="Arial"/>
          <w:sz w:val="20"/>
          <w:szCs w:val="20"/>
        </w:rPr>
      </w:pPr>
    </w:p>
    <w:p w14:paraId="4552B50C" w14:textId="64EFBD83" w:rsidR="007B2EAD" w:rsidRPr="00126D6C" w:rsidRDefault="007B2EAD" w:rsidP="00F14EEC">
      <w:pPr>
        <w:pStyle w:val="ListParagraph"/>
        <w:numPr>
          <w:ilvl w:val="0"/>
          <w:numId w:val="11"/>
        </w:numPr>
        <w:autoSpaceDE w:val="0"/>
        <w:autoSpaceDN w:val="0"/>
        <w:adjustRightInd w:val="0"/>
        <w:spacing w:after="0"/>
        <w:rPr>
          <w:rFonts w:ascii="Arial" w:hAnsi="Arial" w:cs="Arial"/>
          <w:sz w:val="20"/>
          <w:szCs w:val="20"/>
        </w:rPr>
      </w:pPr>
      <w:r w:rsidRPr="00126D6C">
        <w:rPr>
          <w:rFonts w:ascii="Arial" w:hAnsi="Arial" w:cs="Arial"/>
          <w:sz w:val="20"/>
          <w:szCs w:val="20"/>
        </w:rPr>
        <w:t>Should the Committee wish to either explore the means-tested or care cap approach in further detail we would welcome the opportunity to discuss our</w:t>
      </w:r>
      <w:r w:rsidR="005C3B5C" w:rsidRPr="00126D6C">
        <w:rPr>
          <w:rFonts w:ascii="Arial" w:hAnsi="Arial" w:cs="Arial"/>
          <w:sz w:val="20"/>
          <w:szCs w:val="20"/>
        </w:rPr>
        <w:t xml:space="preserve"> work</w:t>
      </w:r>
      <w:r w:rsidRPr="00126D6C">
        <w:rPr>
          <w:rFonts w:ascii="Arial" w:hAnsi="Arial" w:cs="Arial"/>
          <w:sz w:val="20"/>
          <w:szCs w:val="20"/>
        </w:rPr>
        <w:t xml:space="preserve">. We </w:t>
      </w:r>
      <w:r w:rsidR="007C22EA">
        <w:rPr>
          <w:rFonts w:ascii="Arial" w:hAnsi="Arial" w:cs="Arial"/>
          <w:sz w:val="20"/>
          <w:szCs w:val="20"/>
        </w:rPr>
        <w:t>plan to</w:t>
      </w:r>
      <w:r w:rsidR="005C3B5C" w:rsidRPr="00126D6C">
        <w:rPr>
          <w:rFonts w:ascii="Arial" w:hAnsi="Arial" w:cs="Arial"/>
          <w:sz w:val="20"/>
          <w:szCs w:val="20"/>
        </w:rPr>
        <w:t xml:space="preserve"> complet</w:t>
      </w:r>
      <w:r w:rsidR="007C22EA">
        <w:rPr>
          <w:rFonts w:ascii="Arial" w:hAnsi="Arial" w:cs="Arial"/>
          <w:sz w:val="20"/>
          <w:szCs w:val="20"/>
        </w:rPr>
        <w:t>e</w:t>
      </w:r>
      <w:r w:rsidR="005C3B5C" w:rsidRPr="00126D6C">
        <w:rPr>
          <w:rFonts w:ascii="Arial" w:hAnsi="Arial" w:cs="Arial"/>
          <w:sz w:val="20"/>
          <w:szCs w:val="20"/>
        </w:rPr>
        <w:t xml:space="preserve"> </w:t>
      </w:r>
      <w:r w:rsidRPr="00126D6C">
        <w:rPr>
          <w:rFonts w:ascii="Arial" w:hAnsi="Arial" w:cs="Arial"/>
          <w:sz w:val="20"/>
          <w:szCs w:val="20"/>
        </w:rPr>
        <w:t xml:space="preserve">further </w:t>
      </w:r>
      <w:r w:rsidR="005C3B5C" w:rsidRPr="00126D6C">
        <w:rPr>
          <w:rFonts w:ascii="Arial" w:hAnsi="Arial" w:cs="Arial"/>
          <w:sz w:val="20"/>
          <w:szCs w:val="20"/>
        </w:rPr>
        <w:t xml:space="preserve">analysis on </w:t>
      </w:r>
      <w:r w:rsidRPr="00126D6C">
        <w:rPr>
          <w:rFonts w:ascii="Arial" w:hAnsi="Arial" w:cs="Arial"/>
          <w:sz w:val="20"/>
          <w:szCs w:val="20"/>
        </w:rPr>
        <w:t>the impact of different thresholds</w:t>
      </w:r>
      <w:r w:rsidR="005C3B5C" w:rsidRPr="00126D6C">
        <w:rPr>
          <w:rFonts w:ascii="Arial" w:hAnsi="Arial" w:cs="Arial"/>
          <w:sz w:val="20"/>
          <w:szCs w:val="20"/>
        </w:rPr>
        <w:t xml:space="preserve"> and this</w:t>
      </w:r>
      <w:r w:rsidRPr="00126D6C">
        <w:rPr>
          <w:rFonts w:ascii="Arial" w:hAnsi="Arial" w:cs="Arial"/>
          <w:sz w:val="20"/>
          <w:szCs w:val="20"/>
        </w:rPr>
        <w:t xml:space="preserve"> m</w:t>
      </w:r>
      <w:r w:rsidR="005C3B5C" w:rsidRPr="00126D6C">
        <w:rPr>
          <w:rFonts w:ascii="Arial" w:hAnsi="Arial" w:cs="Arial"/>
          <w:sz w:val="20"/>
          <w:szCs w:val="20"/>
        </w:rPr>
        <w:t>ay</w:t>
      </w:r>
      <w:r w:rsidRPr="00126D6C">
        <w:rPr>
          <w:rFonts w:ascii="Arial" w:hAnsi="Arial" w:cs="Arial"/>
          <w:sz w:val="20"/>
          <w:szCs w:val="20"/>
        </w:rPr>
        <w:t xml:space="preserve"> be of interest to the Committee as part of this inquiry.</w:t>
      </w:r>
    </w:p>
    <w:p w14:paraId="1ED15C53" w14:textId="77777777" w:rsidR="001A149A" w:rsidRPr="00126D6C" w:rsidRDefault="001A149A" w:rsidP="004956CA">
      <w:pPr>
        <w:autoSpaceDE w:val="0"/>
        <w:autoSpaceDN w:val="0"/>
        <w:adjustRightInd w:val="0"/>
        <w:spacing w:after="0"/>
        <w:rPr>
          <w:rFonts w:ascii="Arial" w:hAnsi="Arial" w:cs="Arial"/>
          <w:b/>
          <w:sz w:val="20"/>
          <w:szCs w:val="20"/>
        </w:rPr>
      </w:pPr>
    </w:p>
    <w:p w14:paraId="5D964C45" w14:textId="0BF02E64" w:rsidR="0084560E" w:rsidRPr="00126D6C" w:rsidRDefault="0084560E" w:rsidP="004956CA">
      <w:pPr>
        <w:spacing w:after="0"/>
        <w:rPr>
          <w:rFonts w:ascii="Arial" w:hAnsi="Arial" w:cs="Arial"/>
          <w:b/>
          <w:sz w:val="20"/>
          <w:szCs w:val="20"/>
        </w:rPr>
      </w:pPr>
      <w:r w:rsidRPr="00126D6C">
        <w:rPr>
          <w:rFonts w:ascii="Arial" w:hAnsi="Arial" w:cs="Arial"/>
          <w:b/>
          <w:sz w:val="20"/>
          <w:szCs w:val="20"/>
        </w:rPr>
        <w:t>Digitisation, big data and informatics</w:t>
      </w:r>
    </w:p>
    <w:p w14:paraId="5B36EAF9" w14:textId="77777777" w:rsidR="002B4AD7" w:rsidRPr="00126D6C" w:rsidRDefault="002B4AD7" w:rsidP="004956CA">
      <w:pPr>
        <w:spacing w:after="0"/>
        <w:rPr>
          <w:rFonts w:ascii="Arial" w:hAnsi="Arial" w:cs="Arial"/>
          <w:b/>
          <w:sz w:val="20"/>
          <w:szCs w:val="20"/>
        </w:rPr>
      </w:pPr>
    </w:p>
    <w:p w14:paraId="1C039717" w14:textId="3868DB61" w:rsidR="002B4AD7" w:rsidRPr="00126D6C" w:rsidRDefault="002B4AD7" w:rsidP="002B4AD7">
      <w:pPr>
        <w:spacing w:after="0" w:line="240" w:lineRule="auto"/>
        <w:rPr>
          <w:rFonts w:ascii="Arial" w:hAnsi="Arial" w:cs="Arial"/>
          <w:i/>
          <w:sz w:val="20"/>
          <w:szCs w:val="20"/>
        </w:rPr>
      </w:pPr>
      <w:r w:rsidRPr="00126D6C">
        <w:rPr>
          <w:rFonts w:ascii="Arial" w:hAnsi="Arial" w:cs="Arial"/>
          <w:i/>
          <w:sz w:val="20"/>
          <w:szCs w:val="20"/>
        </w:rPr>
        <w:t>Q. What is the role of technology such as telecare and telehealth, wearable technologies and genetic and genome medicine in reducing costs and managing demand?</w:t>
      </w:r>
    </w:p>
    <w:p w14:paraId="183076F7" w14:textId="6EF74328" w:rsidR="0084560E" w:rsidRPr="00126D6C" w:rsidRDefault="0084560E" w:rsidP="002B4AD7">
      <w:pPr>
        <w:spacing w:after="0"/>
        <w:rPr>
          <w:rFonts w:ascii="Arial" w:hAnsi="Arial" w:cs="Arial"/>
          <w:sz w:val="20"/>
          <w:szCs w:val="20"/>
        </w:rPr>
      </w:pPr>
    </w:p>
    <w:p w14:paraId="69D73EF5" w14:textId="5A379672" w:rsidR="007B2EAD" w:rsidRPr="00126D6C" w:rsidRDefault="001927C9" w:rsidP="00F14EEC">
      <w:pPr>
        <w:pStyle w:val="ListParagraph"/>
        <w:numPr>
          <w:ilvl w:val="0"/>
          <w:numId w:val="11"/>
        </w:numPr>
        <w:spacing w:after="0"/>
        <w:rPr>
          <w:rFonts w:ascii="Arial" w:hAnsi="Arial" w:cs="Arial"/>
          <w:sz w:val="20"/>
          <w:szCs w:val="20"/>
        </w:rPr>
      </w:pPr>
      <w:r w:rsidRPr="00126D6C">
        <w:rPr>
          <w:rFonts w:ascii="Arial" w:hAnsi="Arial" w:cs="Arial"/>
          <w:sz w:val="20"/>
          <w:szCs w:val="20"/>
        </w:rPr>
        <w:t>As many actuaries price and reserv</w:t>
      </w:r>
      <w:r w:rsidR="00971721" w:rsidRPr="00126D6C">
        <w:rPr>
          <w:rFonts w:ascii="Arial" w:hAnsi="Arial" w:cs="Arial"/>
          <w:sz w:val="20"/>
          <w:szCs w:val="20"/>
        </w:rPr>
        <w:t>e</w:t>
      </w:r>
      <w:r w:rsidRPr="00126D6C">
        <w:rPr>
          <w:rFonts w:ascii="Arial" w:hAnsi="Arial" w:cs="Arial"/>
          <w:sz w:val="20"/>
          <w:szCs w:val="20"/>
        </w:rPr>
        <w:t xml:space="preserve"> for insurance products, we have drawn from our experience in the insurance sector. </w:t>
      </w:r>
      <w:r w:rsidR="007C22EA">
        <w:rPr>
          <w:rFonts w:ascii="Arial" w:hAnsi="Arial" w:cs="Arial"/>
          <w:sz w:val="20"/>
          <w:szCs w:val="20"/>
        </w:rPr>
        <w:t>E</w:t>
      </w:r>
      <w:r w:rsidR="00971721" w:rsidRPr="00126D6C">
        <w:rPr>
          <w:rFonts w:ascii="Arial" w:hAnsi="Arial" w:cs="Arial"/>
          <w:sz w:val="20"/>
          <w:szCs w:val="20"/>
        </w:rPr>
        <w:t xml:space="preserve">xperience </w:t>
      </w:r>
      <w:r w:rsidR="00B12B57" w:rsidRPr="00126D6C">
        <w:rPr>
          <w:rFonts w:ascii="Arial" w:hAnsi="Arial" w:cs="Arial"/>
          <w:sz w:val="20"/>
          <w:szCs w:val="20"/>
        </w:rPr>
        <w:t xml:space="preserve">from overseas </w:t>
      </w:r>
      <w:r w:rsidR="00971721" w:rsidRPr="00126D6C">
        <w:rPr>
          <w:rFonts w:ascii="Arial" w:hAnsi="Arial" w:cs="Arial"/>
          <w:sz w:val="20"/>
          <w:szCs w:val="20"/>
        </w:rPr>
        <w:t xml:space="preserve">shows that </w:t>
      </w:r>
      <w:r w:rsidRPr="00126D6C">
        <w:rPr>
          <w:rFonts w:ascii="Arial" w:hAnsi="Arial" w:cs="Arial"/>
          <w:sz w:val="20"/>
          <w:szCs w:val="20"/>
        </w:rPr>
        <w:t>technologies such as telehealth and wearables can encourage healthier living.</w:t>
      </w:r>
      <w:r w:rsidR="00721DB2" w:rsidRPr="00126D6C">
        <w:rPr>
          <w:rFonts w:ascii="Arial" w:hAnsi="Arial" w:cs="Arial"/>
          <w:sz w:val="20"/>
          <w:szCs w:val="20"/>
        </w:rPr>
        <w:t xml:space="preserve"> </w:t>
      </w:r>
      <w:r w:rsidR="0046503C" w:rsidRPr="00126D6C">
        <w:rPr>
          <w:rFonts w:ascii="Arial" w:hAnsi="Arial" w:cs="Arial"/>
          <w:sz w:val="20"/>
          <w:szCs w:val="20"/>
        </w:rPr>
        <w:t>In the US</w:t>
      </w:r>
      <w:r w:rsidRPr="00126D6C">
        <w:rPr>
          <w:rFonts w:ascii="Arial" w:hAnsi="Arial" w:cs="Arial"/>
          <w:sz w:val="20"/>
          <w:szCs w:val="20"/>
        </w:rPr>
        <w:t>,</w:t>
      </w:r>
      <w:r w:rsidR="0046503C" w:rsidRPr="00126D6C">
        <w:rPr>
          <w:rFonts w:ascii="Arial" w:hAnsi="Arial" w:cs="Arial"/>
          <w:sz w:val="20"/>
          <w:szCs w:val="20"/>
        </w:rPr>
        <w:t xml:space="preserve"> the insurance sector is already using wearables to promote healthier living. One example is Blue Shield: </w:t>
      </w:r>
      <w:proofErr w:type="spellStart"/>
      <w:r w:rsidR="0046503C" w:rsidRPr="00126D6C">
        <w:rPr>
          <w:rFonts w:ascii="Arial" w:hAnsi="Arial" w:cs="Arial"/>
          <w:sz w:val="20"/>
          <w:szCs w:val="20"/>
        </w:rPr>
        <w:t>Wellvolution</w:t>
      </w:r>
      <w:proofErr w:type="spellEnd"/>
      <w:r w:rsidR="0046503C" w:rsidRPr="00126D6C">
        <w:rPr>
          <w:rFonts w:ascii="Arial" w:hAnsi="Arial" w:cs="Arial"/>
          <w:sz w:val="20"/>
          <w:szCs w:val="20"/>
        </w:rPr>
        <w:t>, a non-profit insurer based in California</w:t>
      </w:r>
      <w:r w:rsidR="007C22EA">
        <w:rPr>
          <w:rFonts w:ascii="Arial" w:hAnsi="Arial" w:cs="Arial"/>
          <w:sz w:val="20"/>
          <w:szCs w:val="20"/>
        </w:rPr>
        <w:t>. This scheme</w:t>
      </w:r>
      <w:r w:rsidR="0046503C" w:rsidRPr="00126D6C">
        <w:rPr>
          <w:rFonts w:ascii="Arial" w:hAnsi="Arial" w:cs="Arial"/>
          <w:sz w:val="20"/>
          <w:szCs w:val="20"/>
        </w:rPr>
        <w:t xml:space="preserve"> assigns </w:t>
      </w:r>
      <w:r w:rsidR="007C22EA">
        <w:rPr>
          <w:rFonts w:ascii="Arial" w:hAnsi="Arial" w:cs="Arial"/>
          <w:sz w:val="20"/>
          <w:szCs w:val="20"/>
        </w:rPr>
        <w:t xml:space="preserve">challenges to </w:t>
      </w:r>
      <w:r w:rsidR="0046503C" w:rsidRPr="00126D6C">
        <w:rPr>
          <w:rFonts w:ascii="Arial" w:hAnsi="Arial" w:cs="Arial"/>
          <w:sz w:val="20"/>
          <w:szCs w:val="20"/>
        </w:rPr>
        <w:t>employees that they earn points for completing</w:t>
      </w:r>
      <w:r w:rsidR="007C22EA">
        <w:rPr>
          <w:rFonts w:ascii="Arial" w:hAnsi="Arial" w:cs="Arial"/>
          <w:sz w:val="20"/>
          <w:szCs w:val="20"/>
        </w:rPr>
        <w:t xml:space="preserve"> and as a result, a</w:t>
      </w:r>
      <w:r w:rsidR="0046503C" w:rsidRPr="00126D6C">
        <w:rPr>
          <w:rFonts w:ascii="Arial" w:hAnsi="Arial" w:cs="Arial"/>
          <w:sz w:val="20"/>
          <w:szCs w:val="20"/>
        </w:rPr>
        <w:t>mongst its 5,000 employees</w:t>
      </w:r>
      <w:r w:rsidR="007C22EA">
        <w:rPr>
          <w:rFonts w:ascii="Arial" w:hAnsi="Arial" w:cs="Arial"/>
          <w:sz w:val="20"/>
          <w:szCs w:val="20"/>
        </w:rPr>
        <w:t>,</w:t>
      </w:r>
      <w:r w:rsidR="0046503C" w:rsidRPr="00126D6C">
        <w:rPr>
          <w:rFonts w:ascii="Arial" w:hAnsi="Arial" w:cs="Arial"/>
          <w:sz w:val="20"/>
          <w:szCs w:val="20"/>
        </w:rPr>
        <w:t xml:space="preserve"> it has seen a 50 percent reduction in smoking, hypertension </w:t>
      </w:r>
      <w:r w:rsidR="007C22EA">
        <w:rPr>
          <w:rFonts w:ascii="Arial" w:hAnsi="Arial" w:cs="Arial"/>
          <w:sz w:val="20"/>
          <w:szCs w:val="20"/>
        </w:rPr>
        <w:t xml:space="preserve">has </w:t>
      </w:r>
      <w:r w:rsidR="0046503C" w:rsidRPr="00126D6C">
        <w:rPr>
          <w:rFonts w:ascii="Arial" w:hAnsi="Arial" w:cs="Arial"/>
          <w:sz w:val="20"/>
          <w:szCs w:val="20"/>
        </w:rPr>
        <w:t>reduced by 66 percent and</w:t>
      </w:r>
      <w:r w:rsidR="007C22EA">
        <w:rPr>
          <w:rFonts w:ascii="Arial" w:hAnsi="Arial" w:cs="Arial"/>
          <w:sz w:val="20"/>
          <w:szCs w:val="20"/>
        </w:rPr>
        <w:t xml:space="preserve"> it has saved</w:t>
      </w:r>
      <w:r w:rsidR="0046503C" w:rsidRPr="00126D6C">
        <w:rPr>
          <w:rFonts w:ascii="Arial" w:hAnsi="Arial" w:cs="Arial"/>
          <w:sz w:val="20"/>
          <w:szCs w:val="20"/>
        </w:rPr>
        <w:t xml:space="preserve"> </w:t>
      </w:r>
      <w:r w:rsidR="007C22EA">
        <w:rPr>
          <w:rFonts w:ascii="Arial" w:hAnsi="Arial" w:cs="Arial"/>
          <w:sz w:val="20"/>
          <w:szCs w:val="20"/>
        </w:rPr>
        <w:t xml:space="preserve">the employees </w:t>
      </w:r>
      <w:r w:rsidR="0046503C" w:rsidRPr="00126D6C">
        <w:rPr>
          <w:rFonts w:ascii="Arial" w:hAnsi="Arial" w:cs="Arial"/>
          <w:sz w:val="20"/>
          <w:szCs w:val="20"/>
        </w:rPr>
        <w:t>$3million per annum in insurance premiums.</w:t>
      </w:r>
      <w:r w:rsidR="0046503C" w:rsidRPr="00126D6C">
        <w:rPr>
          <w:rStyle w:val="FootnoteReference"/>
          <w:rFonts w:ascii="Arial" w:hAnsi="Arial" w:cs="Arial"/>
          <w:sz w:val="20"/>
          <w:szCs w:val="20"/>
        </w:rPr>
        <w:footnoteReference w:id="11"/>
      </w:r>
      <w:r w:rsidRPr="00126D6C">
        <w:rPr>
          <w:rFonts w:ascii="Arial" w:hAnsi="Arial" w:cs="Arial"/>
          <w:sz w:val="20"/>
          <w:szCs w:val="20"/>
        </w:rPr>
        <w:t xml:space="preserve"> </w:t>
      </w:r>
      <w:r w:rsidR="00B12B57" w:rsidRPr="00126D6C">
        <w:rPr>
          <w:rFonts w:ascii="Arial" w:hAnsi="Arial" w:cs="Arial"/>
          <w:sz w:val="20"/>
          <w:szCs w:val="20"/>
        </w:rPr>
        <w:t>Another example is Discovery Limited in South Africa</w:t>
      </w:r>
      <w:r w:rsidR="007C22EA">
        <w:rPr>
          <w:rFonts w:ascii="Arial" w:hAnsi="Arial" w:cs="Arial"/>
          <w:sz w:val="20"/>
          <w:szCs w:val="20"/>
        </w:rPr>
        <w:t>.</w:t>
      </w:r>
      <w:r w:rsidR="00B12B57" w:rsidRPr="00126D6C">
        <w:rPr>
          <w:rFonts w:ascii="Arial" w:hAnsi="Arial" w:cs="Arial"/>
          <w:sz w:val="20"/>
          <w:szCs w:val="20"/>
        </w:rPr>
        <w:t xml:space="preserve"> </w:t>
      </w:r>
      <w:r w:rsidR="007C22EA">
        <w:rPr>
          <w:rFonts w:ascii="Arial" w:hAnsi="Arial" w:cs="Arial"/>
          <w:sz w:val="20"/>
          <w:szCs w:val="20"/>
        </w:rPr>
        <w:t>I</w:t>
      </w:r>
      <w:r w:rsidR="00B12B57" w:rsidRPr="00126D6C">
        <w:rPr>
          <w:rFonts w:ascii="Arial" w:hAnsi="Arial" w:cs="Arial"/>
          <w:sz w:val="20"/>
          <w:szCs w:val="20"/>
        </w:rPr>
        <w:t>ts Vitality programme incentivises members to live healthier lifestyles by providing them with rewards for achieving specified health goals. Rewards include discounts on travel, healthy foods and leisure activities. This programme allows members to connect their</w:t>
      </w:r>
      <w:r w:rsidR="005671D9" w:rsidRPr="00126D6C">
        <w:rPr>
          <w:rFonts w:ascii="Arial" w:hAnsi="Arial" w:cs="Arial"/>
          <w:sz w:val="20"/>
          <w:szCs w:val="20"/>
        </w:rPr>
        <w:t xml:space="preserve"> wearables to their profile </w:t>
      </w:r>
      <w:r w:rsidR="007C22EA">
        <w:rPr>
          <w:rFonts w:ascii="Arial" w:hAnsi="Arial" w:cs="Arial"/>
          <w:sz w:val="20"/>
          <w:szCs w:val="20"/>
        </w:rPr>
        <w:t>to collect</w:t>
      </w:r>
      <w:r w:rsidR="005671D9" w:rsidRPr="00126D6C">
        <w:rPr>
          <w:rFonts w:ascii="Arial" w:hAnsi="Arial" w:cs="Arial"/>
          <w:sz w:val="20"/>
          <w:szCs w:val="20"/>
        </w:rPr>
        <w:t xml:space="preserve"> data </w:t>
      </w:r>
      <w:r w:rsidR="007C22EA">
        <w:rPr>
          <w:rFonts w:ascii="Arial" w:hAnsi="Arial" w:cs="Arial"/>
          <w:sz w:val="20"/>
          <w:szCs w:val="20"/>
        </w:rPr>
        <w:t>that assess</w:t>
      </w:r>
      <w:r w:rsidR="008364B9">
        <w:rPr>
          <w:rFonts w:ascii="Arial" w:hAnsi="Arial" w:cs="Arial"/>
          <w:sz w:val="20"/>
          <w:szCs w:val="20"/>
        </w:rPr>
        <w:t>es</w:t>
      </w:r>
      <w:r w:rsidR="007C22EA">
        <w:rPr>
          <w:rFonts w:ascii="Arial" w:hAnsi="Arial" w:cs="Arial"/>
          <w:sz w:val="20"/>
          <w:szCs w:val="20"/>
        </w:rPr>
        <w:t xml:space="preserve"> their progress towards </w:t>
      </w:r>
      <w:r w:rsidR="005671D9" w:rsidRPr="00126D6C">
        <w:rPr>
          <w:rFonts w:ascii="Arial" w:hAnsi="Arial" w:cs="Arial"/>
          <w:sz w:val="20"/>
          <w:szCs w:val="20"/>
        </w:rPr>
        <w:t>earn</w:t>
      </w:r>
      <w:r w:rsidR="007C22EA">
        <w:rPr>
          <w:rFonts w:ascii="Arial" w:hAnsi="Arial" w:cs="Arial"/>
          <w:sz w:val="20"/>
          <w:szCs w:val="20"/>
        </w:rPr>
        <w:t>ing</w:t>
      </w:r>
      <w:r w:rsidR="005671D9" w:rsidRPr="00126D6C">
        <w:rPr>
          <w:rFonts w:ascii="Arial" w:hAnsi="Arial" w:cs="Arial"/>
          <w:sz w:val="20"/>
          <w:szCs w:val="20"/>
        </w:rPr>
        <w:t xml:space="preserve"> points. </w:t>
      </w:r>
      <w:r w:rsidR="005D3959" w:rsidRPr="00126D6C">
        <w:rPr>
          <w:rFonts w:ascii="Arial" w:hAnsi="Arial" w:cs="Arial"/>
          <w:sz w:val="20"/>
          <w:szCs w:val="20"/>
        </w:rPr>
        <w:t>This also enables a more granular assessment of risk and provides</w:t>
      </w:r>
      <w:r w:rsidR="005671D9" w:rsidRPr="00126D6C">
        <w:rPr>
          <w:rFonts w:ascii="Arial" w:hAnsi="Arial" w:cs="Arial"/>
          <w:sz w:val="20"/>
          <w:szCs w:val="20"/>
        </w:rPr>
        <w:t xml:space="preserve"> greater insight into a policyholder’s morbidity and mortality risk. These benefits would be the same for health services.</w:t>
      </w:r>
      <w:r w:rsidR="005671D9" w:rsidRPr="00126D6C">
        <w:rPr>
          <w:rStyle w:val="FootnoteReference"/>
          <w:rFonts w:ascii="Arial" w:hAnsi="Arial" w:cs="Arial"/>
          <w:sz w:val="20"/>
          <w:szCs w:val="20"/>
        </w:rPr>
        <w:footnoteReference w:id="12"/>
      </w:r>
    </w:p>
    <w:p w14:paraId="7F8416A8" w14:textId="77777777" w:rsidR="001927C9" w:rsidRPr="00126D6C" w:rsidRDefault="001927C9" w:rsidP="001927C9">
      <w:pPr>
        <w:pStyle w:val="ListParagraph"/>
        <w:spacing w:after="0"/>
        <w:rPr>
          <w:rFonts w:ascii="Arial" w:hAnsi="Arial" w:cs="Arial"/>
          <w:sz w:val="20"/>
          <w:szCs w:val="20"/>
        </w:rPr>
      </w:pPr>
    </w:p>
    <w:p w14:paraId="4F0012C5" w14:textId="446C43C4" w:rsidR="001927C9" w:rsidRPr="00126D6C" w:rsidRDefault="00721DB2" w:rsidP="00F14EEC">
      <w:pPr>
        <w:pStyle w:val="ListParagraph"/>
        <w:numPr>
          <w:ilvl w:val="0"/>
          <w:numId w:val="11"/>
        </w:numPr>
        <w:spacing w:after="0"/>
        <w:rPr>
          <w:rFonts w:ascii="Arial" w:hAnsi="Arial" w:cs="Arial"/>
          <w:sz w:val="20"/>
          <w:szCs w:val="20"/>
        </w:rPr>
      </w:pPr>
      <w:r w:rsidRPr="00126D6C">
        <w:rPr>
          <w:rFonts w:ascii="Arial" w:hAnsi="Arial" w:cs="Arial"/>
          <w:sz w:val="20"/>
          <w:szCs w:val="20"/>
        </w:rPr>
        <w:t>In addition, the use of wearables is creating efficiencies that could be equally useful in the health sector. Wearables are helping insurers to improv</w:t>
      </w:r>
      <w:r w:rsidR="007C22EA">
        <w:rPr>
          <w:rFonts w:ascii="Arial" w:hAnsi="Arial" w:cs="Arial"/>
          <w:sz w:val="20"/>
          <w:szCs w:val="20"/>
        </w:rPr>
        <w:t>e upon</w:t>
      </w:r>
      <w:r w:rsidRPr="00126D6C">
        <w:rPr>
          <w:rFonts w:ascii="Arial" w:hAnsi="Arial" w:cs="Arial"/>
          <w:sz w:val="20"/>
          <w:szCs w:val="20"/>
        </w:rPr>
        <w:t xml:space="preserve"> resour</w:t>
      </w:r>
      <w:r w:rsidR="007C22EA">
        <w:rPr>
          <w:rFonts w:ascii="Arial" w:hAnsi="Arial" w:cs="Arial"/>
          <w:sz w:val="20"/>
          <w:szCs w:val="20"/>
        </w:rPr>
        <w:t xml:space="preserve">ce intensive and costly </w:t>
      </w:r>
      <w:r w:rsidRPr="00126D6C">
        <w:rPr>
          <w:rFonts w:ascii="Arial" w:hAnsi="Arial" w:cs="Arial"/>
          <w:sz w:val="20"/>
          <w:szCs w:val="20"/>
        </w:rPr>
        <w:t>underwriting practices. Access to the continuous picture of a policyholder’s health can reduce inconvenience to policyholders and provide the potential for insurers to digitally streamline their underwriting process, reducing cost.</w:t>
      </w:r>
      <w:r w:rsidRPr="00126D6C">
        <w:rPr>
          <w:rStyle w:val="FootnoteReference"/>
          <w:rFonts w:ascii="Arial" w:hAnsi="Arial" w:cs="Arial"/>
          <w:sz w:val="20"/>
          <w:szCs w:val="20"/>
        </w:rPr>
        <w:footnoteReference w:id="13"/>
      </w:r>
    </w:p>
    <w:p w14:paraId="47CE65C9" w14:textId="77777777" w:rsidR="00721DB2" w:rsidRPr="00126D6C" w:rsidRDefault="00721DB2" w:rsidP="00721DB2">
      <w:pPr>
        <w:pStyle w:val="ListParagraph"/>
        <w:rPr>
          <w:rFonts w:ascii="Arial" w:hAnsi="Arial" w:cs="Arial"/>
          <w:sz w:val="20"/>
          <w:szCs w:val="20"/>
        </w:rPr>
      </w:pPr>
    </w:p>
    <w:p w14:paraId="1E4B87E9" w14:textId="11E32910" w:rsidR="004956CA" w:rsidRPr="00126D6C" w:rsidRDefault="005671D9" w:rsidP="00F14EEC">
      <w:pPr>
        <w:pStyle w:val="ListParagraph"/>
        <w:numPr>
          <w:ilvl w:val="0"/>
          <w:numId w:val="11"/>
        </w:numPr>
        <w:autoSpaceDE w:val="0"/>
        <w:autoSpaceDN w:val="0"/>
        <w:adjustRightInd w:val="0"/>
        <w:spacing w:after="0"/>
        <w:rPr>
          <w:rFonts w:ascii="Arial" w:hAnsi="Arial" w:cs="Arial"/>
          <w:sz w:val="20"/>
          <w:szCs w:val="20"/>
        </w:rPr>
      </w:pPr>
      <w:r w:rsidRPr="00126D6C">
        <w:rPr>
          <w:rFonts w:ascii="Arial" w:hAnsi="Arial" w:cs="Arial"/>
          <w:sz w:val="20"/>
          <w:szCs w:val="20"/>
        </w:rPr>
        <w:t xml:space="preserve">Again, as with funding, linking with employers could be beneficial. Here in the UK, </w:t>
      </w:r>
      <w:proofErr w:type="spellStart"/>
      <w:r w:rsidRPr="00126D6C">
        <w:rPr>
          <w:rFonts w:ascii="Arial" w:hAnsi="Arial" w:cs="Arial"/>
          <w:sz w:val="20"/>
          <w:szCs w:val="20"/>
        </w:rPr>
        <w:t>Havenrock</w:t>
      </w:r>
      <w:proofErr w:type="spellEnd"/>
      <w:r w:rsidRPr="00126D6C">
        <w:rPr>
          <w:rFonts w:ascii="Arial" w:hAnsi="Arial" w:cs="Arial"/>
          <w:sz w:val="20"/>
          <w:szCs w:val="20"/>
        </w:rPr>
        <w:t xml:space="preserve"> Group’s income protection</w:t>
      </w:r>
      <w:r w:rsidR="00041D68">
        <w:rPr>
          <w:rFonts w:ascii="Arial" w:hAnsi="Arial" w:cs="Arial"/>
          <w:sz w:val="20"/>
          <w:szCs w:val="20"/>
        </w:rPr>
        <w:t xml:space="preserve"> scheme for its employees</w:t>
      </w:r>
      <w:r w:rsidRPr="00126D6C">
        <w:rPr>
          <w:rFonts w:ascii="Arial" w:hAnsi="Arial" w:cs="Arial"/>
          <w:sz w:val="20"/>
          <w:szCs w:val="20"/>
        </w:rPr>
        <w:t xml:space="preserve"> incorporates wearables to improve employe</w:t>
      </w:r>
      <w:r w:rsidR="00041D68">
        <w:rPr>
          <w:rFonts w:ascii="Arial" w:hAnsi="Arial" w:cs="Arial"/>
          <w:sz w:val="20"/>
          <w:szCs w:val="20"/>
        </w:rPr>
        <w:t>e</w:t>
      </w:r>
      <w:r w:rsidRPr="00126D6C">
        <w:rPr>
          <w:rFonts w:ascii="Arial" w:hAnsi="Arial" w:cs="Arial"/>
          <w:sz w:val="20"/>
          <w:szCs w:val="20"/>
        </w:rPr>
        <w:t xml:space="preserve"> </w:t>
      </w:r>
      <w:r w:rsidR="005D3959" w:rsidRPr="00126D6C">
        <w:rPr>
          <w:rFonts w:ascii="Arial" w:hAnsi="Arial" w:cs="Arial"/>
          <w:sz w:val="20"/>
          <w:szCs w:val="20"/>
        </w:rPr>
        <w:t>health</w:t>
      </w:r>
      <w:r w:rsidR="00041D68">
        <w:rPr>
          <w:rFonts w:ascii="Arial" w:hAnsi="Arial" w:cs="Arial"/>
          <w:sz w:val="20"/>
          <w:szCs w:val="20"/>
        </w:rPr>
        <w:t>.</w:t>
      </w:r>
      <w:r w:rsidRPr="00126D6C">
        <w:rPr>
          <w:rFonts w:ascii="Arial" w:hAnsi="Arial" w:cs="Arial"/>
          <w:sz w:val="20"/>
          <w:szCs w:val="20"/>
        </w:rPr>
        <w:t xml:space="preserve"> </w:t>
      </w:r>
      <w:r w:rsidR="005D3959" w:rsidRPr="00126D6C">
        <w:rPr>
          <w:rFonts w:ascii="Arial" w:hAnsi="Arial" w:cs="Arial"/>
          <w:sz w:val="20"/>
          <w:szCs w:val="20"/>
        </w:rPr>
        <w:t>Insured employees get a free activity tracker and a free annual health check-up at their</w:t>
      </w:r>
      <w:r w:rsidRPr="00126D6C">
        <w:rPr>
          <w:rFonts w:ascii="Arial" w:hAnsi="Arial" w:cs="Arial"/>
          <w:sz w:val="20"/>
          <w:szCs w:val="20"/>
        </w:rPr>
        <w:t xml:space="preserve"> workplace. Data from these are combined on an online health portal that offers employees advice, annual reports and notification of any health issues they might wish to seek medical advice for. The employer also benefits from an anonymised overall annual health status report on its employees.</w:t>
      </w:r>
      <w:r w:rsidR="00041D68">
        <w:rPr>
          <w:rFonts w:ascii="Arial" w:hAnsi="Arial" w:cs="Arial"/>
          <w:sz w:val="20"/>
          <w:szCs w:val="20"/>
        </w:rPr>
        <w:t xml:space="preserve"> It has seen improvements in productivity and reduced stress, fatigue and absenteeism.</w:t>
      </w:r>
      <w:r w:rsidRPr="00126D6C">
        <w:rPr>
          <w:rStyle w:val="FootnoteReference"/>
          <w:rFonts w:ascii="Arial" w:hAnsi="Arial" w:cs="Arial"/>
          <w:sz w:val="20"/>
          <w:szCs w:val="20"/>
        </w:rPr>
        <w:footnoteReference w:id="14"/>
      </w:r>
    </w:p>
    <w:p w14:paraId="5E57105A" w14:textId="77777777" w:rsidR="00DB03E4" w:rsidRPr="00126D6C" w:rsidRDefault="00DB03E4" w:rsidP="00DB03E4">
      <w:pPr>
        <w:pStyle w:val="ListParagraph"/>
        <w:rPr>
          <w:rFonts w:ascii="Arial" w:hAnsi="Arial" w:cs="Arial"/>
          <w:sz w:val="20"/>
          <w:szCs w:val="20"/>
        </w:rPr>
      </w:pPr>
    </w:p>
    <w:p w14:paraId="5E8CE5C1" w14:textId="215B163A" w:rsidR="00DB03E4" w:rsidRPr="00126D6C" w:rsidRDefault="00DB03E4" w:rsidP="00F14EEC">
      <w:pPr>
        <w:pStyle w:val="ListParagraph"/>
        <w:numPr>
          <w:ilvl w:val="0"/>
          <w:numId w:val="11"/>
        </w:numPr>
        <w:autoSpaceDE w:val="0"/>
        <w:autoSpaceDN w:val="0"/>
        <w:adjustRightInd w:val="0"/>
        <w:spacing w:after="0"/>
        <w:rPr>
          <w:rFonts w:ascii="Arial" w:hAnsi="Arial" w:cs="Arial"/>
          <w:sz w:val="20"/>
          <w:szCs w:val="20"/>
        </w:rPr>
      </w:pPr>
      <w:r w:rsidRPr="00126D6C">
        <w:rPr>
          <w:rFonts w:ascii="Arial" w:hAnsi="Arial" w:cs="Arial"/>
          <w:sz w:val="20"/>
          <w:szCs w:val="20"/>
        </w:rPr>
        <w:t>Th</w:t>
      </w:r>
      <w:r w:rsidR="00041D68">
        <w:rPr>
          <w:rFonts w:ascii="Arial" w:hAnsi="Arial" w:cs="Arial"/>
          <w:sz w:val="20"/>
          <w:szCs w:val="20"/>
        </w:rPr>
        <w:t>e greater use of wearables</w:t>
      </w:r>
      <w:r w:rsidRPr="00126D6C">
        <w:rPr>
          <w:rFonts w:ascii="Arial" w:hAnsi="Arial" w:cs="Arial"/>
          <w:sz w:val="20"/>
          <w:szCs w:val="20"/>
        </w:rPr>
        <w:t xml:space="preserve"> will not be without its challenges. A significant amount of analytical work is required to turn the data from healthcare wearables into meaningful rating factors to incorporate into estimates of morbidity or mortality. This will be made more complex </w:t>
      </w:r>
      <w:r w:rsidR="008364B9">
        <w:rPr>
          <w:rFonts w:ascii="Arial" w:hAnsi="Arial" w:cs="Arial"/>
          <w:sz w:val="20"/>
          <w:szCs w:val="20"/>
        </w:rPr>
        <w:t>by</w:t>
      </w:r>
      <w:r w:rsidRPr="00126D6C">
        <w:rPr>
          <w:rFonts w:ascii="Arial" w:hAnsi="Arial" w:cs="Arial"/>
          <w:sz w:val="20"/>
          <w:szCs w:val="20"/>
        </w:rPr>
        <w:t xml:space="preserve"> the interaction of multiple factors in determining someone’s risk profile.</w:t>
      </w:r>
      <w:r w:rsidR="00F50638">
        <w:rPr>
          <w:rFonts w:ascii="Arial" w:hAnsi="Arial" w:cs="Arial"/>
          <w:sz w:val="20"/>
          <w:szCs w:val="20"/>
        </w:rPr>
        <w:t xml:space="preserve"> However, the benefits of better estimates of morbidity and mortality could have significant cost saving for health and care services by enabling better targeting to </w:t>
      </w:r>
      <w:r w:rsidR="00D126F7">
        <w:rPr>
          <w:rFonts w:ascii="Arial" w:hAnsi="Arial" w:cs="Arial"/>
          <w:sz w:val="20"/>
          <w:szCs w:val="20"/>
        </w:rPr>
        <w:t>high-risk</w:t>
      </w:r>
      <w:r w:rsidR="00F50638">
        <w:rPr>
          <w:rFonts w:ascii="Arial" w:hAnsi="Arial" w:cs="Arial"/>
          <w:sz w:val="20"/>
          <w:szCs w:val="20"/>
        </w:rPr>
        <w:t xml:space="preserve"> groups / areas. Social care demand is increasing</w:t>
      </w:r>
      <w:r w:rsidR="008364B9">
        <w:rPr>
          <w:rFonts w:ascii="Arial" w:hAnsi="Arial" w:cs="Arial"/>
          <w:sz w:val="20"/>
          <w:szCs w:val="20"/>
        </w:rPr>
        <w:t>:</w:t>
      </w:r>
      <w:r w:rsidR="00F50638">
        <w:rPr>
          <w:rFonts w:ascii="Arial" w:hAnsi="Arial" w:cs="Arial"/>
          <w:sz w:val="20"/>
          <w:szCs w:val="20"/>
        </w:rPr>
        <w:t xml:space="preserve"> better targeting of services could help increases in healthy life expectancy to catch up with increases in overall life expectancy, thereby reducing the demand and ultimately </w:t>
      </w:r>
      <w:r w:rsidR="008364B9">
        <w:rPr>
          <w:rFonts w:ascii="Arial" w:hAnsi="Arial" w:cs="Arial"/>
          <w:sz w:val="20"/>
          <w:szCs w:val="20"/>
        </w:rPr>
        <w:t xml:space="preserve">the </w:t>
      </w:r>
      <w:r w:rsidR="00F50638">
        <w:rPr>
          <w:rFonts w:ascii="Arial" w:hAnsi="Arial" w:cs="Arial"/>
          <w:sz w:val="20"/>
          <w:szCs w:val="20"/>
        </w:rPr>
        <w:t>cost of providing care.</w:t>
      </w:r>
    </w:p>
    <w:p w14:paraId="18BED356" w14:textId="77777777" w:rsidR="004947A6" w:rsidRPr="00126D6C" w:rsidRDefault="004947A6" w:rsidP="004947A6">
      <w:pPr>
        <w:autoSpaceDE w:val="0"/>
        <w:autoSpaceDN w:val="0"/>
        <w:adjustRightInd w:val="0"/>
        <w:spacing w:after="0"/>
        <w:rPr>
          <w:rFonts w:ascii="Arial" w:hAnsi="Arial" w:cs="Arial"/>
          <w:sz w:val="20"/>
          <w:szCs w:val="20"/>
        </w:rPr>
      </w:pPr>
    </w:p>
    <w:p w14:paraId="6B3ED255" w14:textId="77777777" w:rsidR="004947A6" w:rsidRPr="00126D6C" w:rsidRDefault="004947A6" w:rsidP="004947A6">
      <w:pPr>
        <w:autoSpaceDE w:val="0"/>
        <w:autoSpaceDN w:val="0"/>
        <w:adjustRightInd w:val="0"/>
        <w:spacing w:after="0"/>
        <w:rPr>
          <w:rFonts w:ascii="Arial" w:hAnsi="Arial" w:cs="Arial"/>
          <w:sz w:val="20"/>
          <w:szCs w:val="20"/>
        </w:rPr>
      </w:pPr>
      <w:r w:rsidRPr="00126D6C">
        <w:rPr>
          <w:rFonts w:ascii="Arial" w:hAnsi="Arial" w:cs="Arial"/>
          <w:sz w:val="20"/>
          <w:szCs w:val="20"/>
        </w:rPr>
        <w:t>Should you wish to discuss any of the points raised in further detail please contact Rebecca</w:t>
      </w:r>
    </w:p>
    <w:p w14:paraId="2986C596" w14:textId="6E605537" w:rsidR="004947A6" w:rsidRDefault="004947A6" w:rsidP="004947A6">
      <w:pPr>
        <w:autoSpaceDE w:val="0"/>
        <w:autoSpaceDN w:val="0"/>
        <w:adjustRightInd w:val="0"/>
        <w:spacing w:after="0"/>
        <w:rPr>
          <w:rFonts w:ascii="Arial" w:hAnsi="Arial" w:cs="Arial"/>
          <w:sz w:val="20"/>
          <w:szCs w:val="20"/>
        </w:rPr>
      </w:pPr>
      <w:r w:rsidRPr="00126D6C">
        <w:rPr>
          <w:rFonts w:ascii="Arial" w:hAnsi="Arial" w:cs="Arial"/>
          <w:sz w:val="20"/>
          <w:szCs w:val="20"/>
        </w:rPr>
        <w:t>Deegan, Policy Manager (</w:t>
      </w:r>
      <w:hyperlink r:id="rId12" w:history="1">
        <w:r w:rsidR="003B0740" w:rsidRPr="004C3572">
          <w:rPr>
            <w:rStyle w:val="Hyperlink"/>
            <w:rFonts w:ascii="Arial" w:hAnsi="Arial" w:cs="Arial"/>
            <w:sz w:val="20"/>
            <w:szCs w:val="20"/>
          </w:rPr>
          <w:t>rebecca.deegan@actuaries.org.uk</w:t>
        </w:r>
      </w:hyperlink>
      <w:r w:rsidR="003B0740">
        <w:rPr>
          <w:rFonts w:ascii="Arial" w:hAnsi="Arial" w:cs="Arial"/>
          <w:sz w:val="20"/>
          <w:szCs w:val="20"/>
        </w:rPr>
        <w:t xml:space="preserve"> </w:t>
      </w:r>
      <w:r w:rsidRPr="00126D6C">
        <w:rPr>
          <w:rFonts w:ascii="Arial" w:hAnsi="Arial" w:cs="Arial"/>
          <w:sz w:val="20"/>
          <w:szCs w:val="20"/>
        </w:rPr>
        <w:t>/ 02076322125) in the first</w:t>
      </w:r>
      <w:r w:rsidR="005D3959">
        <w:rPr>
          <w:rFonts w:ascii="Arial" w:hAnsi="Arial" w:cs="Arial"/>
          <w:sz w:val="20"/>
          <w:szCs w:val="20"/>
        </w:rPr>
        <w:t xml:space="preserve"> </w:t>
      </w:r>
      <w:r w:rsidRPr="00126D6C">
        <w:rPr>
          <w:rFonts w:ascii="Arial" w:hAnsi="Arial" w:cs="Arial"/>
          <w:sz w:val="20"/>
          <w:szCs w:val="20"/>
        </w:rPr>
        <w:t>instance.</w:t>
      </w:r>
    </w:p>
    <w:p w14:paraId="5C4630A4" w14:textId="77777777" w:rsidR="007C22EA" w:rsidRDefault="007C22EA" w:rsidP="004947A6">
      <w:pPr>
        <w:autoSpaceDE w:val="0"/>
        <w:autoSpaceDN w:val="0"/>
        <w:adjustRightInd w:val="0"/>
        <w:spacing w:after="0"/>
        <w:rPr>
          <w:rFonts w:ascii="Arial" w:hAnsi="Arial" w:cs="Arial"/>
          <w:sz w:val="20"/>
          <w:szCs w:val="20"/>
        </w:rPr>
      </w:pPr>
    </w:p>
    <w:p w14:paraId="7E71B7CE" w14:textId="7604D503" w:rsidR="006B7B36" w:rsidRDefault="007C22EA" w:rsidP="004947A6">
      <w:pPr>
        <w:autoSpaceDE w:val="0"/>
        <w:autoSpaceDN w:val="0"/>
        <w:adjustRightInd w:val="0"/>
        <w:spacing w:after="0"/>
        <w:rPr>
          <w:rFonts w:ascii="Arial" w:hAnsi="Arial" w:cs="Arial"/>
          <w:sz w:val="20"/>
          <w:szCs w:val="20"/>
        </w:rPr>
      </w:pPr>
      <w:r>
        <w:rPr>
          <w:rFonts w:ascii="Arial" w:hAnsi="Arial" w:cs="Arial"/>
          <w:sz w:val="20"/>
          <w:szCs w:val="20"/>
        </w:rPr>
        <w:t>Yours sincerely</w:t>
      </w:r>
    </w:p>
    <w:p w14:paraId="3E90A501" w14:textId="326CDC29" w:rsidR="006B7B36" w:rsidRDefault="006B7B36" w:rsidP="004947A6">
      <w:pPr>
        <w:autoSpaceDE w:val="0"/>
        <w:autoSpaceDN w:val="0"/>
        <w:adjustRightInd w:val="0"/>
        <w:spacing w:after="0"/>
        <w:rPr>
          <w:rFonts w:ascii="Arial" w:hAnsi="Arial" w:cs="Arial"/>
          <w:sz w:val="20"/>
          <w:szCs w:val="20"/>
        </w:rPr>
      </w:pPr>
      <w:r>
        <w:rPr>
          <w:rFonts w:ascii="Arial" w:hAnsi="Arial" w:cs="Arial"/>
          <w:noProof/>
          <w:sz w:val="20"/>
          <w:szCs w:val="20"/>
          <w:lang w:eastAsia="en-GB"/>
        </w:rPr>
        <w:drawing>
          <wp:anchor distT="0" distB="0" distL="114300" distR="114300" simplePos="0" relativeHeight="251658240" behindDoc="1" locked="0" layoutInCell="1" allowOverlap="1" wp14:anchorId="072255F0" wp14:editId="3045DE5B">
            <wp:simplePos x="0" y="0"/>
            <wp:positionH relativeFrom="column">
              <wp:posOffset>-47625</wp:posOffset>
            </wp:positionH>
            <wp:positionV relativeFrom="paragraph">
              <wp:posOffset>104140</wp:posOffset>
            </wp:positionV>
            <wp:extent cx="1762125" cy="798830"/>
            <wp:effectExtent l="0" t="0" r="9525" b="1270"/>
            <wp:wrapTight wrapText="bothSides">
              <wp:wrapPolygon edited="0">
                <wp:start x="0" y="0"/>
                <wp:lineTo x="0" y="21119"/>
                <wp:lineTo x="21483" y="21119"/>
                <wp:lineTo x="21483" y="0"/>
                <wp:lineTo x="0" y="0"/>
              </wp:wrapPolygon>
            </wp:wrapTight>
            <wp:docPr id="2" name="Picture 2" descr="P:\Bex\Signatures\Charles Cowl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Bex\Signatures\Charles Cowling.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62125" cy="798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7848B4" w14:textId="44D81FBB" w:rsidR="009F4D8D" w:rsidRDefault="009F4D8D" w:rsidP="004947A6">
      <w:pPr>
        <w:autoSpaceDE w:val="0"/>
        <w:autoSpaceDN w:val="0"/>
        <w:adjustRightInd w:val="0"/>
        <w:spacing w:after="0"/>
        <w:rPr>
          <w:rFonts w:ascii="Arial" w:hAnsi="Arial" w:cs="Arial"/>
          <w:sz w:val="20"/>
          <w:szCs w:val="20"/>
        </w:rPr>
      </w:pPr>
    </w:p>
    <w:p w14:paraId="258A12FC" w14:textId="77777777" w:rsidR="009F4D8D" w:rsidRDefault="009F4D8D" w:rsidP="004947A6">
      <w:pPr>
        <w:autoSpaceDE w:val="0"/>
        <w:autoSpaceDN w:val="0"/>
        <w:adjustRightInd w:val="0"/>
        <w:spacing w:after="0"/>
        <w:rPr>
          <w:rFonts w:ascii="Arial" w:hAnsi="Arial" w:cs="Arial"/>
          <w:sz w:val="20"/>
          <w:szCs w:val="20"/>
        </w:rPr>
      </w:pPr>
    </w:p>
    <w:p w14:paraId="3D070F1C" w14:textId="77777777" w:rsidR="009F4D8D" w:rsidRDefault="009F4D8D" w:rsidP="004947A6">
      <w:pPr>
        <w:autoSpaceDE w:val="0"/>
        <w:autoSpaceDN w:val="0"/>
        <w:adjustRightInd w:val="0"/>
        <w:spacing w:after="0"/>
        <w:rPr>
          <w:rFonts w:ascii="Arial" w:hAnsi="Arial" w:cs="Arial"/>
          <w:sz w:val="20"/>
          <w:szCs w:val="20"/>
        </w:rPr>
      </w:pPr>
    </w:p>
    <w:p w14:paraId="74626962" w14:textId="77777777" w:rsidR="006B7B36" w:rsidRDefault="006B7B36" w:rsidP="004947A6">
      <w:pPr>
        <w:autoSpaceDE w:val="0"/>
        <w:autoSpaceDN w:val="0"/>
        <w:adjustRightInd w:val="0"/>
        <w:spacing w:after="0"/>
        <w:rPr>
          <w:rFonts w:ascii="Arial" w:hAnsi="Arial" w:cs="Arial"/>
          <w:sz w:val="20"/>
          <w:szCs w:val="20"/>
        </w:rPr>
      </w:pPr>
    </w:p>
    <w:p w14:paraId="3A4E9978" w14:textId="77777777" w:rsidR="006B7B36" w:rsidRDefault="006B7B36" w:rsidP="004947A6">
      <w:pPr>
        <w:autoSpaceDE w:val="0"/>
        <w:autoSpaceDN w:val="0"/>
        <w:adjustRightInd w:val="0"/>
        <w:spacing w:after="0"/>
        <w:rPr>
          <w:rFonts w:ascii="Arial" w:hAnsi="Arial" w:cs="Arial"/>
          <w:sz w:val="20"/>
          <w:szCs w:val="20"/>
        </w:rPr>
      </w:pPr>
    </w:p>
    <w:p w14:paraId="0B0F3B5F" w14:textId="1507C434" w:rsidR="007C22EA" w:rsidRDefault="003B0740" w:rsidP="004947A6">
      <w:pPr>
        <w:autoSpaceDE w:val="0"/>
        <w:autoSpaceDN w:val="0"/>
        <w:adjustRightInd w:val="0"/>
        <w:spacing w:after="0"/>
        <w:rPr>
          <w:rFonts w:ascii="Arial" w:hAnsi="Arial" w:cs="Arial"/>
          <w:sz w:val="20"/>
          <w:szCs w:val="20"/>
        </w:rPr>
      </w:pPr>
      <w:r>
        <w:rPr>
          <w:rFonts w:ascii="Arial" w:hAnsi="Arial" w:cs="Arial"/>
          <w:sz w:val="20"/>
          <w:szCs w:val="20"/>
        </w:rPr>
        <w:t>Charles Cowling</w:t>
      </w:r>
    </w:p>
    <w:p w14:paraId="1FA2503E" w14:textId="7CD9EB64" w:rsidR="007C22EA" w:rsidRPr="007C22EA" w:rsidRDefault="006B7B36" w:rsidP="004947A6">
      <w:pPr>
        <w:autoSpaceDE w:val="0"/>
        <w:autoSpaceDN w:val="0"/>
        <w:adjustRightInd w:val="0"/>
        <w:spacing w:after="0"/>
        <w:rPr>
          <w:rFonts w:ascii="Arial" w:hAnsi="Arial" w:cs="Arial"/>
          <w:b/>
          <w:sz w:val="20"/>
          <w:szCs w:val="20"/>
        </w:rPr>
      </w:pPr>
      <w:r>
        <w:rPr>
          <w:rFonts w:ascii="Arial" w:hAnsi="Arial" w:cs="Arial"/>
          <w:b/>
          <w:sz w:val="20"/>
          <w:szCs w:val="20"/>
        </w:rPr>
        <w:t>Policy and Public Affairs Committee</w:t>
      </w:r>
      <w:r>
        <w:rPr>
          <w:rFonts w:ascii="Arial" w:hAnsi="Arial" w:cs="Arial"/>
          <w:b/>
          <w:sz w:val="20"/>
          <w:szCs w:val="20"/>
        </w:rPr>
        <w:t xml:space="preserve">, </w:t>
      </w:r>
      <w:r w:rsidR="007C22EA">
        <w:rPr>
          <w:rFonts w:ascii="Arial" w:hAnsi="Arial" w:cs="Arial"/>
          <w:b/>
          <w:sz w:val="20"/>
          <w:szCs w:val="20"/>
        </w:rPr>
        <w:t>Institute and Faculty of Actuaries</w:t>
      </w:r>
      <w:r w:rsidR="003B0740">
        <w:rPr>
          <w:rFonts w:ascii="Arial" w:hAnsi="Arial" w:cs="Arial"/>
          <w:b/>
          <w:sz w:val="20"/>
          <w:szCs w:val="20"/>
        </w:rPr>
        <w:t xml:space="preserve"> </w:t>
      </w:r>
    </w:p>
    <w:p w14:paraId="16754657" w14:textId="77777777" w:rsidR="006B7B36" w:rsidRPr="007C22EA" w:rsidRDefault="006B7B36">
      <w:pPr>
        <w:autoSpaceDE w:val="0"/>
        <w:autoSpaceDN w:val="0"/>
        <w:adjustRightInd w:val="0"/>
        <w:spacing w:after="0"/>
        <w:rPr>
          <w:rFonts w:ascii="Arial" w:hAnsi="Arial" w:cs="Arial"/>
          <w:b/>
          <w:sz w:val="20"/>
          <w:szCs w:val="20"/>
        </w:rPr>
      </w:pPr>
    </w:p>
    <w:sectPr w:rsidR="006B7B36" w:rsidRPr="007C22EA" w:rsidSect="000645F1">
      <w:headerReference w:type="default" r:id="rId14"/>
      <w:footerReference w:type="default" r:id="rId15"/>
      <w:headerReference w:type="first" r:id="rId16"/>
      <w:footerReference w:type="first" r:id="rId17"/>
      <w:pgSz w:w="11906" w:h="16838"/>
      <w:pgMar w:top="1440" w:right="1440" w:bottom="1440" w:left="1440" w:header="68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E2B1DA" w14:textId="77777777" w:rsidR="00175DC0" w:rsidRDefault="00175DC0" w:rsidP="00B652E6">
      <w:pPr>
        <w:spacing w:after="0" w:line="240" w:lineRule="auto"/>
      </w:pPr>
      <w:r>
        <w:separator/>
      </w:r>
    </w:p>
  </w:endnote>
  <w:endnote w:type="continuationSeparator" w:id="0">
    <w:p w14:paraId="27E2B1DB" w14:textId="77777777" w:rsidR="00175DC0" w:rsidRDefault="00175DC0" w:rsidP="00B65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651143"/>
      <w:docPartObj>
        <w:docPartGallery w:val="Page Numbers (Bottom of Page)"/>
        <w:docPartUnique/>
      </w:docPartObj>
    </w:sdtPr>
    <w:sdtEndPr>
      <w:rPr>
        <w:noProof/>
      </w:rPr>
    </w:sdtEndPr>
    <w:sdtContent>
      <w:p w14:paraId="794584DF" w14:textId="65D3C79A" w:rsidR="00175DC0" w:rsidRDefault="00175DC0">
        <w:pPr>
          <w:pStyle w:val="Footer"/>
          <w:jc w:val="right"/>
        </w:pPr>
        <w:r>
          <w:fldChar w:fldCharType="begin"/>
        </w:r>
        <w:r>
          <w:instrText xml:space="preserve"> PAGE   \* MERGEFORMAT </w:instrText>
        </w:r>
        <w:r>
          <w:fldChar w:fldCharType="separate"/>
        </w:r>
        <w:r w:rsidR="006B7B36">
          <w:rPr>
            <w:noProof/>
          </w:rPr>
          <w:t>2</w:t>
        </w:r>
        <w:r>
          <w:rPr>
            <w:noProof/>
          </w:rPr>
          <w:fldChar w:fldCharType="end"/>
        </w:r>
      </w:p>
    </w:sdtContent>
  </w:sdt>
  <w:p w14:paraId="27E2B1DE" w14:textId="77777777" w:rsidR="00175DC0" w:rsidRDefault="00175DC0" w:rsidP="0052522D">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2B1EE" w14:textId="77777777" w:rsidR="00175DC0" w:rsidRDefault="00175DC0">
    <w:pPr>
      <w:pStyle w:val="Footer"/>
    </w:pPr>
  </w:p>
  <w:p w14:paraId="27E2B1EF" w14:textId="77777777" w:rsidR="00175DC0" w:rsidRDefault="00175DC0">
    <w:pPr>
      <w:pStyle w:val="Footer"/>
    </w:pPr>
    <w:r>
      <w:rPr>
        <w:noProof/>
        <w:lang w:eastAsia="en-GB"/>
      </w:rPr>
      <w:drawing>
        <wp:inline distT="0" distB="0" distL="0" distR="0" wp14:anchorId="27E2B1F2" wp14:editId="27E2B1F3">
          <wp:extent cx="5731510" cy="8978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address RGB 9.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8978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E2B1D8" w14:textId="77777777" w:rsidR="00175DC0" w:rsidRDefault="00175DC0" w:rsidP="00B652E6">
      <w:pPr>
        <w:spacing w:after="0" w:line="240" w:lineRule="auto"/>
      </w:pPr>
      <w:r>
        <w:separator/>
      </w:r>
    </w:p>
  </w:footnote>
  <w:footnote w:type="continuationSeparator" w:id="0">
    <w:p w14:paraId="27E2B1D9" w14:textId="77777777" w:rsidR="00175DC0" w:rsidRDefault="00175DC0" w:rsidP="00B652E6">
      <w:pPr>
        <w:spacing w:after="0" w:line="240" w:lineRule="auto"/>
      </w:pPr>
      <w:r>
        <w:continuationSeparator/>
      </w:r>
    </w:p>
  </w:footnote>
  <w:footnote w:id="1">
    <w:p w14:paraId="5B589481" w14:textId="77777777" w:rsidR="00741D7D" w:rsidRDefault="00741D7D" w:rsidP="00741D7D">
      <w:pPr>
        <w:pStyle w:val="FootnoteText"/>
        <w:rPr>
          <w:rFonts w:ascii="Arial" w:hAnsi="Arial" w:cs="Arial"/>
          <w:i/>
        </w:rPr>
      </w:pPr>
      <w:r>
        <w:rPr>
          <w:rStyle w:val="FootnoteReference"/>
        </w:rPr>
        <w:footnoteRef/>
      </w:r>
      <w:r>
        <w:t xml:space="preserve"> </w:t>
      </w:r>
      <w:proofErr w:type="spellStart"/>
      <w:r>
        <w:rPr>
          <w:rFonts w:ascii="Arial" w:hAnsi="Arial" w:cs="Arial"/>
        </w:rPr>
        <w:t>Cracknell</w:t>
      </w:r>
      <w:proofErr w:type="spellEnd"/>
      <w:r>
        <w:rPr>
          <w:rFonts w:ascii="Arial" w:hAnsi="Arial" w:cs="Arial"/>
        </w:rPr>
        <w:t xml:space="preserve">, R. (2010) </w:t>
      </w:r>
      <w:r>
        <w:rPr>
          <w:rFonts w:ascii="Arial" w:hAnsi="Arial" w:cs="Arial"/>
          <w:i/>
        </w:rPr>
        <w:t xml:space="preserve">The ageing population. </w:t>
      </w:r>
      <w:r>
        <w:rPr>
          <w:rFonts w:ascii="Arial" w:hAnsi="Arial" w:cs="Arial"/>
        </w:rPr>
        <w:t>Key issues for the New Parliament 2010 House of Commons Library Research</w:t>
      </w:r>
    </w:p>
  </w:footnote>
  <w:footnote w:id="2">
    <w:p w14:paraId="70460AFA" w14:textId="77777777" w:rsidR="00741D7D" w:rsidRPr="008B5268" w:rsidRDefault="00741D7D" w:rsidP="00741D7D">
      <w:pPr>
        <w:pStyle w:val="FootnoteText"/>
        <w:rPr>
          <w:i/>
        </w:rPr>
      </w:pPr>
      <w:r w:rsidRPr="00FC4963">
        <w:rPr>
          <w:rStyle w:val="FootnoteReference"/>
          <w:rFonts w:ascii="Arial" w:hAnsi="Arial" w:cs="Arial"/>
        </w:rPr>
        <w:footnoteRef/>
      </w:r>
      <w:r w:rsidRPr="00FC4963">
        <w:rPr>
          <w:rFonts w:ascii="Arial" w:hAnsi="Arial" w:cs="Arial"/>
        </w:rPr>
        <w:t xml:space="preserve"> Government Actuary’s Department (2016) </w:t>
      </w:r>
      <w:r w:rsidRPr="00FC4963">
        <w:rPr>
          <w:rFonts w:ascii="Arial" w:hAnsi="Arial" w:cs="Arial"/>
          <w:i/>
        </w:rPr>
        <w:t>A Cohort Approach to Social Care Funding (September 2016)</w:t>
      </w:r>
    </w:p>
  </w:footnote>
  <w:footnote w:id="3">
    <w:p w14:paraId="4A200B29" w14:textId="77777777" w:rsidR="00741D7D" w:rsidRPr="008B5268" w:rsidRDefault="00741D7D" w:rsidP="00741D7D">
      <w:pPr>
        <w:pStyle w:val="FootnoteText"/>
        <w:rPr>
          <w:rFonts w:ascii="Arial" w:hAnsi="Arial" w:cs="Arial"/>
        </w:rPr>
      </w:pPr>
      <w:r w:rsidRPr="008B5268">
        <w:rPr>
          <w:rStyle w:val="FootnoteReference"/>
          <w:rFonts w:ascii="Arial" w:hAnsi="Arial" w:cs="Arial"/>
        </w:rPr>
        <w:footnoteRef/>
      </w:r>
      <w:r w:rsidRPr="008B5268">
        <w:rPr>
          <w:rFonts w:ascii="Arial" w:hAnsi="Arial" w:cs="Arial"/>
        </w:rPr>
        <w:t xml:space="preserve"> IFoA (2016) </w:t>
      </w:r>
      <w:r w:rsidRPr="008B5268">
        <w:rPr>
          <w:rFonts w:ascii="Arial" w:hAnsi="Arial" w:cs="Arial"/>
          <w:i/>
        </w:rPr>
        <w:t>IFoA submission to the State pension age review</w:t>
      </w:r>
      <w:r w:rsidRPr="008B5268">
        <w:rPr>
          <w:rFonts w:ascii="Arial" w:hAnsi="Arial" w:cs="Arial"/>
        </w:rPr>
        <w:t xml:space="preserve"> [Available online: https://www.actuaries.org.uk/documents/state-pension-age-review-ifoa-submission-sir-john-cridlands-review]</w:t>
      </w:r>
    </w:p>
  </w:footnote>
  <w:footnote w:id="4">
    <w:p w14:paraId="3F407B76" w14:textId="77777777" w:rsidR="00175DC0" w:rsidRPr="00FC4963" w:rsidRDefault="00175DC0" w:rsidP="003154F7">
      <w:pPr>
        <w:pStyle w:val="FootnoteText"/>
        <w:rPr>
          <w:rFonts w:ascii="Arial" w:hAnsi="Arial" w:cs="Arial"/>
          <w:i/>
        </w:rPr>
      </w:pPr>
      <w:r w:rsidRPr="00FC4963">
        <w:rPr>
          <w:rStyle w:val="FootnoteReference"/>
          <w:rFonts w:ascii="Arial" w:hAnsi="Arial" w:cs="Arial"/>
        </w:rPr>
        <w:footnoteRef/>
      </w:r>
      <w:r w:rsidRPr="00FC4963">
        <w:rPr>
          <w:rFonts w:ascii="Arial" w:hAnsi="Arial" w:cs="Arial"/>
        </w:rPr>
        <w:t xml:space="preserve"> Department of Health (2012) </w:t>
      </w:r>
      <w:r w:rsidRPr="00FC4963">
        <w:rPr>
          <w:rFonts w:ascii="Arial" w:hAnsi="Arial" w:cs="Arial"/>
          <w:i/>
        </w:rPr>
        <w:t>Long Term Conditions Compendium of Information: Third Edition</w:t>
      </w:r>
    </w:p>
  </w:footnote>
  <w:footnote w:id="5">
    <w:p w14:paraId="27CD3F20" w14:textId="02B40850" w:rsidR="00175DC0" w:rsidRPr="00FC4963" w:rsidRDefault="00175DC0" w:rsidP="003154F7">
      <w:pPr>
        <w:pStyle w:val="FootnoteText"/>
        <w:rPr>
          <w:rFonts w:ascii="Arial" w:hAnsi="Arial" w:cs="Arial"/>
        </w:rPr>
      </w:pPr>
      <w:r w:rsidRPr="00FC4963">
        <w:rPr>
          <w:rStyle w:val="FootnoteReference"/>
          <w:rFonts w:ascii="Arial" w:hAnsi="Arial" w:cs="Arial"/>
        </w:rPr>
        <w:footnoteRef/>
      </w:r>
      <w:r w:rsidRPr="00FC4963">
        <w:rPr>
          <w:rFonts w:ascii="Arial" w:hAnsi="Arial" w:cs="Arial"/>
        </w:rPr>
        <w:t xml:space="preserve"> The Kings Fund (2015) </w:t>
      </w:r>
      <w:r w:rsidRPr="00FC4963">
        <w:rPr>
          <w:rFonts w:ascii="Arial" w:hAnsi="Arial" w:cs="Arial"/>
          <w:i/>
        </w:rPr>
        <w:t xml:space="preserve">How serious are the pressures in social care </w:t>
      </w:r>
      <w:r w:rsidRPr="00FC4963">
        <w:rPr>
          <w:rFonts w:ascii="Arial" w:hAnsi="Arial" w:cs="Arial"/>
        </w:rPr>
        <w:t xml:space="preserve">[Available online: </w:t>
      </w:r>
      <w:hyperlink r:id="rId1" w:history="1">
        <w:r w:rsidRPr="00FC4963">
          <w:rPr>
            <w:rStyle w:val="Hyperlink"/>
            <w:rFonts w:ascii="Arial" w:hAnsi="Arial" w:cs="Arial"/>
          </w:rPr>
          <w:t>http://www.kingsfund.org.uk/projects/verdict/how-serious-are-pressures-social-care</w:t>
        </w:r>
      </w:hyperlink>
      <w:r w:rsidRPr="00FC4963">
        <w:rPr>
          <w:rStyle w:val="Hyperlink"/>
          <w:rFonts w:ascii="Arial" w:hAnsi="Arial" w:cs="Arial"/>
          <w:color w:val="auto"/>
          <w:u w:val="none"/>
        </w:rPr>
        <w:t>]</w:t>
      </w:r>
    </w:p>
  </w:footnote>
  <w:footnote w:id="6">
    <w:p w14:paraId="15655729" w14:textId="3DF58CFF" w:rsidR="00175DC0" w:rsidRPr="00FC4963" w:rsidRDefault="00175DC0">
      <w:pPr>
        <w:pStyle w:val="FootnoteText"/>
        <w:rPr>
          <w:rFonts w:ascii="Arial" w:hAnsi="Arial" w:cs="Arial"/>
        </w:rPr>
      </w:pPr>
      <w:r w:rsidRPr="00FC4963">
        <w:rPr>
          <w:rStyle w:val="FootnoteReference"/>
          <w:rFonts w:ascii="Arial" w:hAnsi="Arial" w:cs="Arial"/>
        </w:rPr>
        <w:footnoteRef/>
      </w:r>
      <w:r w:rsidRPr="00FC4963">
        <w:rPr>
          <w:rFonts w:ascii="Arial" w:hAnsi="Arial" w:cs="Arial"/>
        </w:rPr>
        <w:t xml:space="preserve"> ADASS (2016) </w:t>
      </w:r>
      <w:r w:rsidRPr="00FC4963">
        <w:rPr>
          <w:rFonts w:ascii="Arial" w:hAnsi="Arial" w:cs="Arial"/>
          <w:i/>
        </w:rPr>
        <w:t>Submission to the Health Committee’s inquiry ‘Spending Review impact on health and social care’</w:t>
      </w:r>
      <w:r w:rsidRPr="00FC4963">
        <w:rPr>
          <w:rFonts w:ascii="Arial" w:hAnsi="Arial" w:cs="Arial"/>
        </w:rPr>
        <w:t xml:space="preserve">  </w:t>
      </w:r>
    </w:p>
  </w:footnote>
  <w:footnote w:id="7">
    <w:p w14:paraId="23B27046" w14:textId="5C13B625" w:rsidR="00175DC0" w:rsidRPr="00FC4963" w:rsidRDefault="00175DC0">
      <w:pPr>
        <w:pStyle w:val="FootnoteText"/>
        <w:rPr>
          <w:rFonts w:ascii="Arial" w:hAnsi="Arial" w:cs="Arial"/>
        </w:rPr>
      </w:pPr>
      <w:r w:rsidRPr="00FC4963">
        <w:rPr>
          <w:rStyle w:val="FootnoteReference"/>
          <w:rFonts w:ascii="Arial" w:hAnsi="Arial" w:cs="Arial"/>
        </w:rPr>
        <w:footnoteRef/>
      </w:r>
      <w:r w:rsidRPr="00FC4963">
        <w:rPr>
          <w:rFonts w:ascii="Arial" w:hAnsi="Arial" w:cs="Arial"/>
        </w:rPr>
        <w:t xml:space="preserve"> National Audit Office (2016) </w:t>
      </w:r>
      <w:r w:rsidRPr="00175DC0">
        <w:rPr>
          <w:rFonts w:ascii="Arial" w:hAnsi="Arial" w:cs="Arial"/>
          <w:i/>
        </w:rPr>
        <w:t>Discharging older patients from hospital HC 18 Session 2016-17</w:t>
      </w:r>
    </w:p>
  </w:footnote>
  <w:footnote w:id="8">
    <w:p w14:paraId="7E1AD488" w14:textId="5BA63F87" w:rsidR="00175DC0" w:rsidRPr="00175DC0" w:rsidRDefault="00175DC0">
      <w:pPr>
        <w:pStyle w:val="FootnoteText"/>
        <w:rPr>
          <w:rFonts w:ascii="Arial" w:hAnsi="Arial" w:cs="Arial"/>
        </w:rPr>
      </w:pPr>
      <w:r w:rsidRPr="00FC4963">
        <w:rPr>
          <w:rStyle w:val="FootnoteReference"/>
          <w:rFonts w:ascii="Arial" w:hAnsi="Arial" w:cs="Arial"/>
        </w:rPr>
        <w:footnoteRef/>
      </w:r>
      <w:r w:rsidRPr="00FC4963">
        <w:rPr>
          <w:rFonts w:ascii="Arial" w:hAnsi="Arial" w:cs="Arial"/>
        </w:rPr>
        <w:t xml:space="preserve"> IFoA (2012) </w:t>
      </w:r>
      <w:r w:rsidRPr="00FC4963">
        <w:rPr>
          <w:rFonts w:ascii="Arial" w:hAnsi="Arial" w:cs="Arial"/>
          <w:i/>
        </w:rPr>
        <w:t>Long term care: A review of global funding models</w:t>
      </w:r>
      <w:r>
        <w:rPr>
          <w:rFonts w:ascii="Arial" w:hAnsi="Arial" w:cs="Arial"/>
          <w:i/>
        </w:rPr>
        <w:t xml:space="preserve"> </w:t>
      </w:r>
      <w:r>
        <w:rPr>
          <w:rFonts w:ascii="Arial" w:hAnsi="Arial" w:cs="Arial"/>
        </w:rPr>
        <w:t xml:space="preserve">[Available online: </w:t>
      </w:r>
      <w:hyperlink r:id="rId2" w:history="1">
        <w:r w:rsidRPr="009600E7">
          <w:rPr>
            <w:rStyle w:val="Hyperlink"/>
            <w:rFonts w:ascii="Arial" w:hAnsi="Arial" w:cs="Arial"/>
          </w:rPr>
          <w:t>https://www.actuaries.org.uk/documents/long-term-care-review-global-funding-models-0</w:t>
        </w:r>
      </w:hyperlink>
      <w:r>
        <w:rPr>
          <w:rFonts w:ascii="Arial" w:hAnsi="Arial" w:cs="Arial"/>
        </w:rPr>
        <w:t xml:space="preserve">]  </w:t>
      </w:r>
    </w:p>
  </w:footnote>
  <w:footnote w:id="9">
    <w:p w14:paraId="2D883912" w14:textId="6A258828" w:rsidR="00175DC0" w:rsidRPr="00175DC0" w:rsidRDefault="00175DC0">
      <w:pPr>
        <w:pStyle w:val="FootnoteText"/>
        <w:rPr>
          <w:rFonts w:ascii="Arial" w:hAnsi="Arial" w:cs="Arial"/>
        </w:rPr>
      </w:pPr>
      <w:r w:rsidRPr="00FC4963">
        <w:rPr>
          <w:rStyle w:val="FootnoteReference"/>
          <w:rFonts w:ascii="Arial" w:hAnsi="Arial" w:cs="Arial"/>
        </w:rPr>
        <w:footnoteRef/>
      </w:r>
      <w:r w:rsidRPr="00FC4963">
        <w:rPr>
          <w:rFonts w:ascii="Arial" w:hAnsi="Arial" w:cs="Arial"/>
        </w:rPr>
        <w:t xml:space="preserve"> IFoA (2015) </w:t>
      </w:r>
      <w:r w:rsidRPr="00FC4963">
        <w:rPr>
          <w:rFonts w:ascii="Arial" w:hAnsi="Arial" w:cs="Arial"/>
          <w:i/>
        </w:rPr>
        <w:t>How financial products can work alongside the Care Act 2014 to help people pay for care</w:t>
      </w:r>
      <w:r>
        <w:rPr>
          <w:rFonts w:ascii="Arial" w:hAnsi="Arial" w:cs="Arial"/>
          <w:i/>
        </w:rPr>
        <w:t xml:space="preserve"> </w:t>
      </w:r>
      <w:r>
        <w:rPr>
          <w:rFonts w:ascii="Arial" w:hAnsi="Arial" w:cs="Arial"/>
        </w:rPr>
        <w:t xml:space="preserve">[Available online: </w:t>
      </w:r>
      <w:hyperlink r:id="rId3" w:history="1">
        <w:r w:rsidRPr="009600E7">
          <w:rPr>
            <w:rStyle w:val="Hyperlink"/>
            <w:rFonts w:ascii="Arial" w:hAnsi="Arial" w:cs="Arial"/>
          </w:rPr>
          <w:t>https://www.actuaries.org.uk/documents/how-financial-products-can-work-alongside-care-act-2014-help-people-pay-care-december-2015</w:t>
        </w:r>
      </w:hyperlink>
      <w:r>
        <w:rPr>
          <w:rFonts w:ascii="Arial" w:hAnsi="Arial" w:cs="Arial"/>
        </w:rPr>
        <w:t xml:space="preserve">] </w:t>
      </w:r>
    </w:p>
  </w:footnote>
  <w:footnote w:id="10">
    <w:p w14:paraId="32373344" w14:textId="68965C89" w:rsidR="00175DC0" w:rsidRPr="00175DC0" w:rsidRDefault="00175DC0">
      <w:pPr>
        <w:pStyle w:val="FootnoteText"/>
        <w:rPr>
          <w:rFonts w:ascii="Arial" w:hAnsi="Arial" w:cs="Arial"/>
        </w:rPr>
      </w:pPr>
      <w:r w:rsidRPr="00FC4963">
        <w:rPr>
          <w:rStyle w:val="FootnoteReference"/>
          <w:rFonts w:ascii="Arial" w:hAnsi="Arial" w:cs="Arial"/>
        </w:rPr>
        <w:footnoteRef/>
      </w:r>
      <w:r w:rsidRPr="00FC4963">
        <w:rPr>
          <w:rFonts w:ascii="Arial" w:hAnsi="Arial" w:cs="Arial"/>
        </w:rPr>
        <w:t xml:space="preserve"> IFoA (2015) </w:t>
      </w:r>
      <w:r w:rsidRPr="00FC4963">
        <w:rPr>
          <w:rFonts w:ascii="Arial" w:hAnsi="Arial" w:cs="Arial"/>
          <w:i/>
        </w:rPr>
        <w:t>How pensions can help meet consumer needs under the new social care regime</w:t>
      </w:r>
      <w:r>
        <w:rPr>
          <w:rFonts w:ascii="Arial" w:hAnsi="Arial" w:cs="Arial"/>
          <w:i/>
        </w:rPr>
        <w:t xml:space="preserve"> </w:t>
      </w:r>
      <w:r>
        <w:rPr>
          <w:rFonts w:ascii="Arial" w:hAnsi="Arial" w:cs="Arial"/>
        </w:rPr>
        <w:t xml:space="preserve">[Available online: </w:t>
      </w:r>
      <w:hyperlink r:id="rId4" w:history="1">
        <w:r w:rsidRPr="009600E7">
          <w:rPr>
            <w:rStyle w:val="Hyperlink"/>
            <w:rFonts w:ascii="Arial" w:hAnsi="Arial" w:cs="Arial"/>
          </w:rPr>
          <w:t>https://www.actuaries.org.uk/documents/how-pensions-can-meet-consumer-needs-under-new-social-care-regime-full-report-updated</w:t>
        </w:r>
      </w:hyperlink>
      <w:r>
        <w:rPr>
          <w:rFonts w:ascii="Arial" w:hAnsi="Arial" w:cs="Arial"/>
        </w:rPr>
        <w:t xml:space="preserve">] </w:t>
      </w:r>
    </w:p>
  </w:footnote>
  <w:footnote w:id="11">
    <w:p w14:paraId="3FAA8314" w14:textId="1746AAF7" w:rsidR="00175DC0" w:rsidRPr="00FC4963" w:rsidRDefault="00175DC0">
      <w:pPr>
        <w:pStyle w:val="FootnoteText"/>
        <w:rPr>
          <w:rFonts w:ascii="Arial" w:hAnsi="Arial" w:cs="Arial"/>
        </w:rPr>
      </w:pPr>
      <w:r w:rsidRPr="00FC4963">
        <w:rPr>
          <w:rStyle w:val="FootnoteReference"/>
          <w:rFonts w:ascii="Arial" w:hAnsi="Arial" w:cs="Arial"/>
        </w:rPr>
        <w:footnoteRef/>
      </w:r>
      <w:r w:rsidRPr="00FC4963">
        <w:rPr>
          <w:rFonts w:ascii="Arial" w:hAnsi="Arial" w:cs="Arial"/>
        </w:rPr>
        <w:t xml:space="preserve"> https://www.blueshieldca.com/bsca/about-blue-sheild/careers/wellvolution/incentives.sp</w:t>
      </w:r>
    </w:p>
  </w:footnote>
  <w:footnote w:id="12">
    <w:p w14:paraId="42B38525" w14:textId="39FDAFAE" w:rsidR="00175DC0" w:rsidRPr="00175DC0" w:rsidRDefault="00175DC0">
      <w:pPr>
        <w:pStyle w:val="FootnoteText"/>
        <w:rPr>
          <w:rFonts w:ascii="Arial" w:hAnsi="Arial" w:cs="Arial"/>
        </w:rPr>
      </w:pPr>
      <w:r w:rsidRPr="00FC4963">
        <w:rPr>
          <w:rStyle w:val="FootnoteReference"/>
          <w:rFonts w:ascii="Arial" w:hAnsi="Arial" w:cs="Arial"/>
        </w:rPr>
        <w:footnoteRef/>
      </w:r>
      <w:r w:rsidRPr="00FC4963">
        <w:rPr>
          <w:rFonts w:ascii="Arial" w:hAnsi="Arial" w:cs="Arial"/>
        </w:rPr>
        <w:t xml:space="preserve"> IFoA (2016) </w:t>
      </w:r>
      <w:r w:rsidRPr="00FC4963">
        <w:rPr>
          <w:rFonts w:ascii="Arial" w:hAnsi="Arial" w:cs="Arial"/>
          <w:i/>
        </w:rPr>
        <w:t>Wearable technology: A health and care actuary’s perspective</w:t>
      </w:r>
      <w:r>
        <w:rPr>
          <w:rFonts w:ascii="Arial" w:hAnsi="Arial" w:cs="Arial"/>
          <w:i/>
        </w:rPr>
        <w:t xml:space="preserve"> </w:t>
      </w:r>
      <w:r>
        <w:rPr>
          <w:rFonts w:ascii="Arial" w:hAnsi="Arial" w:cs="Arial"/>
        </w:rPr>
        <w:t xml:space="preserve">[Available online: </w:t>
      </w:r>
      <w:hyperlink r:id="rId5" w:history="1">
        <w:r w:rsidRPr="009600E7">
          <w:rPr>
            <w:rStyle w:val="Hyperlink"/>
            <w:rFonts w:ascii="Arial" w:hAnsi="Arial" w:cs="Arial"/>
          </w:rPr>
          <w:t>https://www.actuaries.org.uk/documents/wearable-technology-health-and-care-actuarys-perspective</w:t>
        </w:r>
      </w:hyperlink>
      <w:r>
        <w:rPr>
          <w:rFonts w:ascii="Arial" w:hAnsi="Arial" w:cs="Arial"/>
        </w:rPr>
        <w:t xml:space="preserve">] </w:t>
      </w:r>
    </w:p>
  </w:footnote>
  <w:footnote w:id="13">
    <w:p w14:paraId="39D310F4" w14:textId="490B4856" w:rsidR="00175DC0" w:rsidRPr="005671D9" w:rsidRDefault="00175DC0">
      <w:pPr>
        <w:pStyle w:val="FootnoteText"/>
        <w:rPr>
          <w:i/>
        </w:rPr>
      </w:pPr>
      <w:r w:rsidRPr="00FC4963">
        <w:rPr>
          <w:rStyle w:val="FootnoteReference"/>
          <w:rFonts w:ascii="Arial" w:hAnsi="Arial" w:cs="Arial"/>
        </w:rPr>
        <w:footnoteRef/>
      </w:r>
      <w:r w:rsidRPr="00FC4963">
        <w:rPr>
          <w:rFonts w:ascii="Arial" w:hAnsi="Arial" w:cs="Arial"/>
        </w:rPr>
        <w:t xml:space="preserve"> </w:t>
      </w:r>
      <w:r w:rsidRPr="00FC4963">
        <w:rPr>
          <w:rFonts w:ascii="Arial" w:hAnsi="Arial" w:cs="Arial"/>
          <w:i/>
        </w:rPr>
        <w:t>ibid</w:t>
      </w:r>
    </w:p>
  </w:footnote>
  <w:footnote w:id="14">
    <w:p w14:paraId="13346F7A" w14:textId="10418706" w:rsidR="00175DC0" w:rsidRPr="00FC4963" w:rsidRDefault="00175DC0">
      <w:pPr>
        <w:pStyle w:val="FootnoteText"/>
        <w:rPr>
          <w:rFonts w:ascii="Arial" w:hAnsi="Arial" w:cs="Arial"/>
          <w:i/>
        </w:rPr>
      </w:pPr>
      <w:r w:rsidRPr="00FC4963">
        <w:rPr>
          <w:rStyle w:val="FootnoteReference"/>
          <w:rFonts w:ascii="Arial" w:hAnsi="Arial" w:cs="Arial"/>
        </w:rPr>
        <w:footnoteRef/>
      </w:r>
      <w:r w:rsidRPr="00FC4963">
        <w:rPr>
          <w:rFonts w:ascii="Arial" w:hAnsi="Arial" w:cs="Arial"/>
        </w:rPr>
        <w:t xml:space="preserve"> </w:t>
      </w:r>
      <w:r w:rsidRPr="00FC4963">
        <w:rPr>
          <w:rFonts w:ascii="Arial" w:hAnsi="Arial" w:cs="Arial"/>
          <w:i/>
        </w:rPr>
        <w:t>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2B1DC" w14:textId="77777777" w:rsidR="00175DC0" w:rsidRPr="0052522D" w:rsidRDefault="00175DC0" w:rsidP="0052522D">
    <w:pPr>
      <w:pStyle w:val="Header"/>
    </w:pPr>
    <w:r>
      <w:ptab w:relativeTo="margin" w:alignment="lef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2B1DF" w14:textId="77777777" w:rsidR="00175DC0" w:rsidRDefault="00175DC0">
    <w:pPr>
      <w:pStyle w:val="Header"/>
    </w:pPr>
    <w:r>
      <w:rPr>
        <w:noProof/>
        <w:lang w:eastAsia="en-GB"/>
      </w:rPr>
      <w:drawing>
        <wp:anchor distT="0" distB="0" distL="114300" distR="114300" simplePos="0" relativeHeight="251658240" behindDoc="0" locked="0" layoutInCell="1" allowOverlap="1" wp14:anchorId="27E2B1F0" wp14:editId="27E2B1F1">
          <wp:simplePos x="0" y="0"/>
          <wp:positionH relativeFrom="page">
            <wp:posOffset>838130</wp:posOffset>
          </wp:positionH>
          <wp:positionV relativeFrom="paragraph">
            <wp:posOffset>0</wp:posOffset>
          </wp:positionV>
          <wp:extent cx="2343540" cy="964800"/>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FOA_logo_L_RGB.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3540" cy="964800"/>
                  </a:xfrm>
                  <a:prstGeom prst="rect">
                    <a:avLst/>
                  </a:prstGeom>
                </pic:spPr>
              </pic:pic>
            </a:graphicData>
          </a:graphic>
          <wp14:sizeRelH relativeFrom="margin">
            <wp14:pctWidth>0</wp14:pctWidth>
          </wp14:sizeRelH>
          <wp14:sizeRelV relativeFrom="margin">
            <wp14:pctHeight>0</wp14:pctHeight>
          </wp14:sizeRelV>
        </wp:anchor>
      </w:drawing>
    </w:r>
  </w:p>
  <w:p w14:paraId="27E2B1E0" w14:textId="77777777" w:rsidR="00175DC0" w:rsidRDefault="00175DC0">
    <w:pPr>
      <w:pStyle w:val="Header"/>
    </w:pPr>
  </w:p>
  <w:p w14:paraId="27E2B1E1" w14:textId="77777777" w:rsidR="00175DC0" w:rsidRDefault="00175DC0">
    <w:pPr>
      <w:pStyle w:val="Header"/>
    </w:pPr>
  </w:p>
  <w:p w14:paraId="27E2B1E2" w14:textId="77777777" w:rsidR="00175DC0" w:rsidRDefault="00175DC0">
    <w:pPr>
      <w:pStyle w:val="Header"/>
    </w:pPr>
  </w:p>
  <w:p w14:paraId="27E2B1E3" w14:textId="77777777" w:rsidR="00175DC0" w:rsidRDefault="00175DC0">
    <w:pPr>
      <w:pStyle w:val="Header"/>
    </w:pPr>
  </w:p>
  <w:p w14:paraId="27E2B1E4" w14:textId="77777777" w:rsidR="00175DC0" w:rsidRDefault="00175DC0">
    <w:pPr>
      <w:pStyle w:val="Header"/>
    </w:pPr>
  </w:p>
  <w:p w14:paraId="27E2B1E5" w14:textId="77777777" w:rsidR="00175DC0" w:rsidRDefault="00175DC0">
    <w:pPr>
      <w:pStyle w:val="Header"/>
    </w:pPr>
  </w:p>
  <w:p w14:paraId="27E2B1E6" w14:textId="77777777" w:rsidR="00175DC0" w:rsidRDefault="00175DC0">
    <w:pPr>
      <w:pStyle w:val="Header"/>
    </w:pPr>
  </w:p>
  <w:p w14:paraId="27E2B1E7" w14:textId="77777777" w:rsidR="00175DC0" w:rsidRDefault="00175DC0">
    <w:pPr>
      <w:pStyle w:val="Header"/>
    </w:pPr>
  </w:p>
  <w:p w14:paraId="27E2B1E8" w14:textId="77777777" w:rsidR="00175DC0" w:rsidRDefault="00175DC0">
    <w:pPr>
      <w:pStyle w:val="Header"/>
    </w:pPr>
  </w:p>
  <w:p w14:paraId="27E2B1E9" w14:textId="77777777" w:rsidR="00175DC0" w:rsidRDefault="00175DC0">
    <w:pPr>
      <w:pStyle w:val="Header"/>
    </w:pPr>
  </w:p>
  <w:p w14:paraId="27E2B1EA" w14:textId="77777777" w:rsidR="00175DC0" w:rsidRDefault="00175DC0">
    <w:pPr>
      <w:pStyle w:val="Header"/>
    </w:pPr>
  </w:p>
  <w:p w14:paraId="27E2B1EB" w14:textId="77777777" w:rsidR="00175DC0" w:rsidRDefault="00175DC0">
    <w:pPr>
      <w:pStyle w:val="Header"/>
    </w:pPr>
  </w:p>
  <w:p w14:paraId="27E2B1EC" w14:textId="77777777" w:rsidR="00175DC0" w:rsidRDefault="00175DC0">
    <w:pPr>
      <w:pStyle w:val="Header"/>
    </w:pPr>
  </w:p>
  <w:p w14:paraId="27E2B1ED" w14:textId="77777777" w:rsidR="00175DC0" w:rsidRDefault="00175D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56BB3"/>
    <w:multiLevelType w:val="hybridMultilevel"/>
    <w:tmpl w:val="2744D48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FAA1416"/>
    <w:multiLevelType w:val="hybridMultilevel"/>
    <w:tmpl w:val="8D84A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AC2D91"/>
    <w:multiLevelType w:val="hybridMultilevel"/>
    <w:tmpl w:val="2744D48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5922E97"/>
    <w:multiLevelType w:val="hybridMultilevel"/>
    <w:tmpl w:val="DDDE3EE0"/>
    <w:lvl w:ilvl="0" w:tplc="7506C67E">
      <w:start w:val="1"/>
      <w:numFmt w:val="decimal"/>
      <w:lvlText w:val="%1."/>
      <w:lvlJc w:val="left"/>
      <w:pPr>
        <w:ind w:left="720" w:hanging="360"/>
      </w:pPr>
      <w:rPr>
        <w:rFonts w:ascii="Arial" w:hAnsi="Arial" w:cs="Arial" w:hint="default"/>
        <w:b w:val="0"/>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3011E4E"/>
    <w:multiLevelType w:val="hybridMultilevel"/>
    <w:tmpl w:val="2744D48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0E15790"/>
    <w:multiLevelType w:val="hybridMultilevel"/>
    <w:tmpl w:val="2744D48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7DC2959"/>
    <w:multiLevelType w:val="hybridMultilevel"/>
    <w:tmpl w:val="2744D488"/>
    <w:lvl w:ilvl="0" w:tplc="0809000F">
      <w:start w:val="1"/>
      <w:numFmt w:val="decimal"/>
      <w:lvlText w:val="%1."/>
      <w:lvlJc w:val="left"/>
      <w:pPr>
        <w:ind w:left="0" w:hanging="360"/>
      </w:pPr>
      <w:rPr>
        <w:rFonts w:hint="default"/>
      </w:rPr>
    </w:lvl>
    <w:lvl w:ilvl="1" w:tplc="08090019">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7">
    <w:nsid w:val="3EEE7175"/>
    <w:multiLevelType w:val="hybridMultilevel"/>
    <w:tmpl w:val="2744D48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4712D79"/>
    <w:multiLevelType w:val="hybridMultilevel"/>
    <w:tmpl w:val="D14E460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E0820BF"/>
    <w:multiLevelType w:val="hybridMultilevel"/>
    <w:tmpl w:val="7CD43E64"/>
    <w:lvl w:ilvl="0" w:tplc="D7128F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F352FE5"/>
    <w:multiLevelType w:val="hybridMultilevel"/>
    <w:tmpl w:val="1EE812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5"/>
  </w:num>
  <w:num w:numId="3">
    <w:abstractNumId w:val="0"/>
  </w:num>
  <w:num w:numId="4">
    <w:abstractNumId w:val="2"/>
  </w:num>
  <w:num w:numId="5">
    <w:abstractNumId w:val="9"/>
  </w:num>
  <w:num w:numId="6">
    <w:abstractNumId w:val="6"/>
  </w:num>
  <w:num w:numId="7">
    <w:abstractNumId w:val="1"/>
  </w:num>
  <w:num w:numId="8">
    <w:abstractNumId w:val="10"/>
  </w:num>
  <w:num w:numId="9">
    <w:abstractNumId w:val="7"/>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F8F"/>
    <w:rsid w:val="00041D68"/>
    <w:rsid w:val="000645F1"/>
    <w:rsid w:val="00126D6C"/>
    <w:rsid w:val="00163707"/>
    <w:rsid w:val="00175DC0"/>
    <w:rsid w:val="001927C9"/>
    <w:rsid w:val="001A149A"/>
    <w:rsid w:val="001A4766"/>
    <w:rsid w:val="001A7B29"/>
    <w:rsid w:val="001C146C"/>
    <w:rsid w:val="0020373F"/>
    <w:rsid w:val="00211AF6"/>
    <w:rsid w:val="002133BD"/>
    <w:rsid w:val="002206B9"/>
    <w:rsid w:val="002B4AD7"/>
    <w:rsid w:val="003154F7"/>
    <w:rsid w:val="00334CF1"/>
    <w:rsid w:val="0033765D"/>
    <w:rsid w:val="00343242"/>
    <w:rsid w:val="00361865"/>
    <w:rsid w:val="003B0740"/>
    <w:rsid w:val="00464C91"/>
    <w:rsid w:val="0046503C"/>
    <w:rsid w:val="004947A6"/>
    <w:rsid w:val="004956CA"/>
    <w:rsid w:val="004C294D"/>
    <w:rsid w:val="004E58C8"/>
    <w:rsid w:val="004F03AB"/>
    <w:rsid w:val="0052522D"/>
    <w:rsid w:val="005671D9"/>
    <w:rsid w:val="005A79CF"/>
    <w:rsid w:val="005C3B5C"/>
    <w:rsid w:val="005D3959"/>
    <w:rsid w:val="005F7F8F"/>
    <w:rsid w:val="00600149"/>
    <w:rsid w:val="0065029B"/>
    <w:rsid w:val="00682175"/>
    <w:rsid w:val="006B0852"/>
    <w:rsid w:val="006B7B36"/>
    <w:rsid w:val="006F43DF"/>
    <w:rsid w:val="007061E2"/>
    <w:rsid w:val="00711B46"/>
    <w:rsid w:val="00721DB2"/>
    <w:rsid w:val="00741D7D"/>
    <w:rsid w:val="007A73D0"/>
    <w:rsid w:val="007B2EAD"/>
    <w:rsid w:val="007C05C4"/>
    <w:rsid w:val="007C22EA"/>
    <w:rsid w:val="007E5E97"/>
    <w:rsid w:val="007F66C8"/>
    <w:rsid w:val="0080672B"/>
    <w:rsid w:val="00814C06"/>
    <w:rsid w:val="00831278"/>
    <w:rsid w:val="008364B9"/>
    <w:rsid w:val="00840910"/>
    <w:rsid w:val="0084560E"/>
    <w:rsid w:val="008C4A72"/>
    <w:rsid w:val="008C5C16"/>
    <w:rsid w:val="008D1CAA"/>
    <w:rsid w:val="008D3AE2"/>
    <w:rsid w:val="0095029C"/>
    <w:rsid w:val="00971721"/>
    <w:rsid w:val="009756E6"/>
    <w:rsid w:val="009822D6"/>
    <w:rsid w:val="009A4073"/>
    <w:rsid w:val="009B6834"/>
    <w:rsid w:val="009C18D3"/>
    <w:rsid w:val="009D3C7B"/>
    <w:rsid w:val="009E040D"/>
    <w:rsid w:val="009F4D8D"/>
    <w:rsid w:val="00A07A37"/>
    <w:rsid w:val="00A1198C"/>
    <w:rsid w:val="00A24D33"/>
    <w:rsid w:val="00B077AC"/>
    <w:rsid w:val="00B12B57"/>
    <w:rsid w:val="00B5381E"/>
    <w:rsid w:val="00B652E6"/>
    <w:rsid w:val="00B66C8D"/>
    <w:rsid w:val="00B76CF7"/>
    <w:rsid w:val="00B82E07"/>
    <w:rsid w:val="00BC52F2"/>
    <w:rsid w:val="00BC58A4"/>
    <w:rsid w:val="00BD4FE2"/>
    <w:rsid w:val="00C17217"/>
    <w:rsid w:val="00C24441"/>
    <w:rsid w:val="00C62579"/>
    <w:rsid w:val="00C85B9C"/>
    <w:rsid w:val="00CA2F8C"/>
    <w:rsid w:val="00CA62E3"/>
    <w:rsid w:val="00CC3498"/>
    <w:rsid w:val="00CF32E6"/>
    <w:rsid w:val="00CF69E6"/>
    <w:rsid w:val="00D031CB"/>
    <w:rsid w:val="00D051BE"/>
    <w:rsid w:val="00D126F7"/>
    <w:rsid w:val="00D24DC3"/>
    <w:rsid w:val="00D4759A"/>
    <w:rsid w:val="00D5728D"/>
    <w:rsid w:val="00D64453"/>
    <w:rsid w:val="00D80AFE"/>
    <w:rsid w:val="00D84325"/>
    <w:rsid w:val="00DB03E4"/>
    <w:rsid w:val="00DC6952"/>
    <w:rsid w:val="00DE1B85"/>
    <w:rsid w:val="00E809E4"/>
    <w:rsid w:val="00E924B4"/>
    <w:rsid w:val="00EE1660"/>
    <w:rsid w:val="00F14EEC"/>
    <w:rsid w:val="00F3196D"/>
    <w:rsid w:val="00F50638"/>
    <w:rsid w:val="00F94936"/>
    <w:rsid w:val="00FC49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7E2B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52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52E6"/>
    <w:rPr>
      <w:rFonts w:ascii="Tahoma" w:hAnsi="Tahoma" w:cs="Tahoma"/>
      <w:sz w:val="16"/>
      <w:szCs w:val="16"/>
    </w:rPr>
  </w:style>
  <w:style w:type="paragraph" w:styleId="Header">
    <w:name w:val="header"/>
    <w:basedOn w:val="Normal"/>
    <w:link w:val="HeaderChar"/>
    <w:uiPriority w:val="99"/>
    <w:unhideWhenUsed/>
    <w:rsid w:val="00B652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52E6"/>
  </w:style>
  <w:style w:type="paragraph" w:styleId="Footer">
    <w:name w:val="footer"/>
    <w:basedOn w:val="Normal"/>
    <w:link w:val="FooterChar"/>
    <w:uiPriority w:val="99"/>
    <w:unhideWhenUsed/>
    <w:rsid w:val="00B652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52E6"/>
  </w:style>
  <w:style w:type="paragraph" w:customStyle="1" w:styleId="Addressdetails">
    <w:name w:val="Address_details"/>
    <w:basedOn w:val="Normal"/>
    <w:qFormat/>
    <w:rsid w:val="00CA62E3"/>
    <w:pPr>
      <w:framePr w:w="3686" w:wrap="around" w:vAnchor="page" w:hAnchor="page" w:x="1135" w:y="2751" w:anchorLock="1"/>
      <w:spacing w:after="0" w:line="250" w:lineRule="exact"/>
    </w:pPr>
    <w:rPr>
      <w:color w:val="000000" w:themeColor="text1"/>
      <w:sz w:val="19"/>
      <w:szCs w:val="17"/>
      <w:lang w:val="en-US"/>
    </w:rPr>
  </w:style>
  <w:style w:type="paragraph" w:customStyle="1" w:styleId="Datedetails">
    <w:name w:val="Date_details"/>
    <w:basedOn w:val="Normal"/>
    <w:qFormat/>
    <w:rsid w:val="00CA62E3"/>
    <w:pPr>
      <w:framePr w:w="3515" w:wrap="around" w:vAnchor="page" w:hAnchor="page" w:x="7259" w:y="2751" w:anchorLock="1"/>
      <w:spacing w:after="0" w:line="250" w:lineRule="exact"/>
      <w:jc w:val="right"/>
    </w:pPr>
    <w:rPr>
      <w:color w:val="000000" w:themeColor="text1"/>
      <w:sz w:val="19"/>
      <w:szCs w:val="17"/>
      <w:lang w:val="en-US"/>
    </w:rPr>
  </w:style>
  <w:style w:type="paragraph" w:styleId="ListParagraph">
    <w:name w:val="List Paragraph"/>
    <w:basedOn w:val="Normal"/>
    <w:uiPriority w:val="34"/>
    <w:qFormat/>
    <w:rsid w:val="002206B9"/>
    <w:pPr>
      <w:ind w:left="720"/>
      <w:contextualSpacing/>
    </w:pPr>
  </w:style>
  <w:style w:type="paragraph" w:styleId="PlainText">
    <w:name w:val="Plain Text"/>
    <w:basedOn w:val="Normal"/>
    <w:link w:val="PlainTextChar"/>
    <w:uiPriority w:val="99"/>
    <w:unhideWhenUsed/>
    <w:rsid w:val="003154F7"/>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3154F7"/>
    <w:rPr>
      <w:rFonts w:ascii="Calibri" w:hAnsi="Calibri" w:cs="Times New Roman"/>
    </w:rPr>
  </w:style>
  <w:style w:type="character" w:styleId="Hyperlink">
    <w:name w:val="Hyperlink"/>
    <w:basedOn w:val="DefaultParagraphFont"/>
    <w:uiPriority w:val="99"/>
    <w:unhideWhenUsed/>
    <w:rsid w:val="003154F7"/>
    <w:rPr>
      <w:color w:val="0000FF" w:themeColor="hyperlink"/>
      <w:u w:val="single"/>
    </w:rPr>
  </w:style>
  <w:style w:type="paragraph" w:styleId="EndnoteText">
    <w:name w:val="endnote text"/>
    <w:basedOn w:val="Normal"/>
    <w:link w:val="EndnoteTextChar"/>
    <w:uiPriority w:val="99"/>
    <w:semiHidden/>
    <w:unhideWhenUsed/>
    <w:rsid w:val="003154F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154F7"/>
    <w:rPr>
      <w:sz w:val="20"/>
      <w:szCs w:val="20"/>
    </w:rPr>
  </w:style>
  <w:style w:type="character" w:styleId="EndnoteReference">
    <w:name w:val="endnote reference"/>
    <w:basedOn w:val="DefaultParagraphFont"/>
    <w:uiPriority w:val="99"/>
    <w:semiHidden/>
    <w:unhideWhenUsed/>
    <w:rsid w:val="003154F7"/>
    <w:rPr>
      <w:vertAlign w:val="superscript"/>
    </w:rPr>
  </w:style>
  <w:style w:type="paragraph" w:styleId="FootnoteText">
    <w:name w:val="footnote text"/>
    <w:basedOn w:val="Normal"/>
    <w:link w:val="FootnoteTextChar"/>
    <w:uiPriority w:val="99"/>
    <w:semiHidden/>
    <w:unhideWhenUsed/>
    <w:rsid w:val="008409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0910"/>
    <w:rPr>
      <w:sz w:val="20"/>
      <w:szCs w:val="20"/>
    </w:rPr>
  </w:style>
  <w:style w:type="character" w:styleId="FootnoteReference">
    <w:name w:val="footnote reference"/>
    <w:basedOn w:val="DefaultParagraphFont"/>
    <w:uiPriority w:val="99"/>
    <w:semiHidden/>
    <w:unhideWhenUsed/>
    <w:rsid w:val="00840910"/>
    <w:rPr>
      <w:vertAlign w:val="superscript"/>
    </w:rPr>
  </w:style>
  <w:style w:type="character" w:styleId="CommentReference">
    <w:name w:val="annotation reference"/>
    <w:basedOn w:val="DefaultParagraphFont"/>
    <w:uiPriority w:val="99"/>
    <w:semiHidden/>
    <w:unhideWhenUsed/>
    <w:rsid w:val="00361865"/>
    <w:rPr>
      <w:sz w:val="16"/>
      <w:szCs w:val="16"/>
    </w:rPr>
  </w:style>
  <w:style w:type="paragraph" w:styleId="CommentText">
    <w:name w:val="annotation text"/>
    <w:basedOn w:val="Normal"/>
    <w:link w:val="CommentTextChar"/>
    <w:uiPriority w:val="99"/>
    <w:semiHidden/>
    <w:unhideWhenUsed/>
    <w:rsid w:val="00361865"/>
    <w:pPr>
      <w:spacing w:line="240" w:lineRule="auto"/>
    </w:pPr>
    <w:rPr>
      <w:sz w:val="20"/>
      <w:szCs w:val="20"/>
    </w:rPr>
  </w:style>
  <w:style w:type="character" w:customStyle="1" w:styleId="CommentTextChar">
    <w:name w:val="Comment Text Char"/>
    <w:basedOn w:val="DefaultParagraphFont"/>
    <w:link w:val="CommentText"/>
    <w:uiPriority w:val="99"/>
    <w:semiHidden/>
    <w:rsid w:val="00361865"/>
    <w:rPr>
      <w:sz w:val="20"/>
      <w:szCs w:val="20"/>
    </w:rPr>
  </w:style>
  <w:style w:type="paragraph" w:styleId="CommentSubject">
    <w:name w:val="annotation subject"/>
    <w:basedOn w:val="CommentText"/>
    <w:next w:val="CommentText"/>
    <w:link w:val="CommentSubjectChar"/>
    <w:uiPriority w:val="99"/>
    <w:semiHidden/>
    <w:unhideWhenUsed/>
    <w:rsid w:val="00361865"/>
    <w:rPr>
      <w:b/>
      <w:bCs/>
    </w:rPr>
  </w:style>
  <w:style w:type="character" w:customStyle="1" w:styleId="CommentSubjectChar">
    <w:name w:val="Comment Subject Char"/>
    <w:basedOn w:val="CommentTextChar"/>
    <w:link w:val="CommentSubject"/>
    <w:uiPriority w:val="99"/>
    <w:semiHidden/>
    <w:rsid w:val="0036186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52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52E6"/>
    <w:rPr>
      <w:rFonts w:ascii="Tahoma" w:hAnsi="Tahoma" w:cs="Tahoma"/>
      <w:sz w:val="16"/>
      <w:szCs w:val="16"/>
    </w:rPr>
  </w:style>
  <w:style w:type="paragraph" w:styleId="Header">
    <w:name w:val="header"/>
    <w:basedOn w:val="Normal"/>
    <w:link w:val="HeaderChar"/>
    <w:uiPriority w:val="99"/>
    <w:unhideWhenUsed/>
    <w:rsid w:val="00B652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52E6"/>
  </w:style>
  <w:style w:type="paragraph" w:styleId="Footer">
    <w:name w:val="footer"/>
    <w:basedOn w:val="Normal"/>
    <w:link w:val="FooterChar"/>
    <w:uiPriority w:val="99"/>
    <w:unhideWhenUsed/>
    <w:rsid w:val="00B652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52E6"/>
  </w:style>
  <w:style w:type="paragraph" w:customStyle="1" w:styleId="Addressdetails">
    <w:name w:val="Address_details"/>
    <w:basedOn w:val="Normal"/>
    <w:qFormat/>
    <w:rsid w:val="00CA62E3"/>
    <w:pPr>
      <w:framePr w:w="3686" w:wrap="around" w:vAnchor="page" w:hAnchor="page" w:x="1135" w:y="2751" w:anchorLock="1"/>
      <w:spacing w:after="0" w:line="250" w:lineRule="exact"/>
    </w:pPr>
    <w:rPr>
      <w:color w:val="000000" w:themeColor="text1"/>
      <w:sz w:val="19"/>
      <w:szCs w:val="17"/>
      <w:lang w:val="en-US"/>
    </w:rPr>
  </w:style>
  <w:style w:type="paragraph" w:customStyle="1" w:styleId="Datedetails">
    <w:name w:val="Date_details"/>
    <w:basedOn w:val="Normal"/>
    <w:qFormat/>
    <w:rsid w:val="00CA62E3"/>
    <w:pPr>
      <w:framePr w:w="3515" w:wrap="around" w:vAnchor="page" w:hAnchor="page" w:x="7259" w:y="2751" w:anchorLock="1"/>
      <w:spacing w:after="0" w:line="250" w:lineRule="exact"/>
      <w:jc w:val="right"/>
    </w:pPr>
    <w:rPr>
      <w:color w:val="000000" w:themeColor="text1"/>
      <w:sz w:val="19"/>
      <w:szCs w:val="17"/>
      <w:lang w:val="en-US"/>
    </w:rPr>
  </w:style>
  <w:style w:type="paragraph" w:styleId="ListParagraph">
    <w:name w:val="List Paragraph"/>
    <w:basedOn w:val="Normal"/>
    <w:uiPriority w:val="34"/>
    <w:qFormat/>
    <w:rsid w:val="002206B9"/>
    <w:pPr>
      <w:ind w:left="720"/>
      <w:contextualSpacing/>
    </w:pPr>
  </w:style>
  <w:style w:type="paragraph" w:styleId="PlainText">
    <w:name w:val="Plain Text"/>
    <w:basedOn w:val="Normal"/>
    <w:link w:val="PlainTextChar"/>
    <w:uiPriority w:val="99"/>
    <w:unhideWhenUsed/>
    <w:rsid w:val="003154F7"/>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3154F7"/>
    <w:rPr>
      <w:rFonts w:ascii="Calibri" w:hAnsi="Calibri" w:cs="Times New Roman"/>
    </w:rPr>
  </w:style>
  <w:style w:type="character" w:styleId="Hyperlink">
    <w:name w:val="Hyperlink"/>
    <w:basedOn w:val="DefaultParagraphFont"/>
    <w:uiPriority w:val="99"/>
    <w:unhideWhenUsed/>
    <w:rsid w:val="003154F7"/>
    <w:rPr>
      <w:color w:val="0000FF" w:themeColor="hyperlink"/>
      <w:u w:val="single"/>
    </w:rPr>
  </w:style>
  <w:style w:type="paragraph" w:styleId="EndnoteText">
    <w:name w:val="endnote text"/>
    <w:basedOn w:val="Normal"/>
    <w:link w:val="EndnoteTextChar"/>
    <w:uiPriority w:val="99"/>
    <w:semiHidden/>
    <w:unhideWhenUsed/>
    <w:rsid w:val="003154F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154F7"/>
    <w:rPr>
      <w:sz w:val="20"/>
      <w:szCs w:val="20"/>
    </w:rPr>
  </w:style>
  <w:style w:type="character" w:styleId="EndnoteReference">
    <w:name w:val="endnote reference"/>
    <w:basedOn w:val="DefaultParagraphFont"/>
    <w:uiPriority w:val="99"/>
    <w:semiHidden/>
    <w:unhideWhenUsed/>
    <w:rsid w:val="003154F7"/>
    <w:rPr>
      <w:vertAlign w:val="superscript"/>
    </w:rPr>
  </w:style>
  <w:style w:type="paragraph" w:styleId="FootnoteText">
    <w:name w:val="footnote text"/>
    <w:basedOn w:val="Normal"/>
    <w:link w:val="FootnoteTextChar"/>
    <w:uiPriority w:val="99"/>
    <w:semiHidden/>
    <w:unhideWhenUsed/>
    <w:rsid w:val="008409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0910"/>
    <w:rPr>
      <w:sz w:val="20"/>
      <w:szCs w:val="20"/>
    </w:rPr>
  </w:style>
  <w:style w:type="character" w:styleId="FootnoteReference">
    <w:name w:val="footnote reference"/>
    <w:basedOn w:val="DefaultParagraphFont"/>
    <w:uiPriority w:val="99"/>
    <w:semiHidden/>
    <w:unhideWhenUsed/>
    <w:rsid w:val="00840910"/>
    <w:rPr>
      <w:vertAlign w:val="superscript"/>
    </w:rPr>
  </w:style>
  <w:style w:type="character" w:styleId="CommentReference">
    <w:name w:val="annotation reference"/>
    <w:basedOn w:val="DefaultParagraphFont"/>
    <w:uiPriority w:val="99"/>
    <w:semiHidden/>
    <w:unhideWhenUsed/>
    <w:rsid w:val="00361865"/>
    <w:rPr>
      <w:sz w:val="16"/>
      <w:szCs w:val="16"/>
    </w:rPr>
  </w:style>
  <w:style w:type="paragraph" w:styleId="CommentText">
    <w:name w:val="annotation text"/>
    <w:basedOn w:val="Normal"/>
    <w:link w:val="CommentTextChar"/>
    <w:uiPriority w:val="99"/>
    <w:semiHidden/>
    <w:unhideWhenUsed/>
    <w:rsid w:val="00361865"/>
    <w:pPr>
      <w:spacing w:line="240" w:lineRule="auto"/>
    </w:pPr>
    <w:rPr>
      <w:sz w:val="20"/>
      <w:szCs w:val="20"/>
    </w:rPr>
  </w:style>
  <w:style w:type="character" w:customStyle="1" w:styleId="CommentTextChar">
    <w:name w:val="Comment Text Char"/>
    <w:basedOn w:val="DefaultParagraphFont"/>
    <w:link w:val="CommentText"/>
    <w:uiPriority w:val="99"/>
    <w:semiHidden/>
    <w:rsid w:val="00361865"/>
    <w:rPr>
      <w:sz w:val="20"/>
      <w:szCs w:val="20"/>
    </w:rPr>
  </w:style>
  <w:style w:type="paragraph" w:styleId="CommentSubject">
    <w:name w:val="annotation subject"/>
    <w:basedOn w:val="CommentText"/>
    <w:next w:val="CommentText"/>
    <w:link w:val="CommentSubjectChar"/>
    <w:uiPriority w:val="99"/>
    <w:semiHidden/>
    <w:unhideWhenUsed/>
    <w:rsid w:val="00361865"/>
    <w:rPr>
      <w:b/>
      <w:bCs/>
    </w:rPr>
  </w:style>
  <w:style w:type="character" w:customStyle="1" w:styleId="CommentSubjectChar">
    <w:name w:val="Comment Subject Char"/>
    <w:basedOn w:val="CommentTextChar"/>
    <w:link w:val="CommentSubject"/>
    <w:uiPriority w:val="99"/>
    <w:semiHidden/>
    <w:rsid w:val="003618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736107">
      <w:bodyDiv w:val="1"/>
      <w:marLeft w:val="0"/>
      <w:marRight w:val="0"/>
      <w:marTop w:val="0"/>
      <w:marBottom w:val="0"/>
      <w:divBdr>
        <w:top w:val="none" w:sz="0" w:space="0" w:color="auto"/>
        <w:left w:val="none" w:sz="0" w:space="0" w:color="auto"/>
        <w:bottom w:val="none" w:sz="0" w:space="0" w:color="auto"/>
        <w:right w:val="none" w:sz="0" w:space="0" w:color="auto"/>
      </w:divBdr>
      <w:divsChild>
        <w:div w:id="1476028390">
          <w:marLeft w:val="0"/>
          <w:marRight w:val="0"/>
          <w:marTop w:val="0"/>
          <w:marBottom w:val="0"/>
          <w:divBdr>
            <w:top w:val="none" w:sz="0" w:space="0" w:color="auto"/>
            <w:left w:val="none" w:sz="0" w:space="0" w:color="auto"/>
            <w:bottom w:val="none" w:sz="0" w:space="0" w:color="auto"/>
            <w:right w:val="none" w:sz="0" w:space="0" w:color="auto"/>
          </w:divBdr>
        </w:div>
        <w:div w:id="115374419">
          <w:marLeft w:val="0"/>
          <w:marRight w:val="0"/>
          <w:marTop w:val="0"/>
          <w:marBottom w:val="0"/>
          <w:divBdr>
            <w:top w:val="none" w:sz="0" w:space="0" w:color="auto"/>
            <w:left w:val="none" w:sz="0" w:space="0" w:color="auto"/>
            <w:bottom w:val="none" w:sz="0" w:space="0" w:color="auto"/>
            <w:right w:val="none" w:sz="0" w:space="0" w:color="auto"/>
          </w:divBdr>
        </w:div>
      </w:divsChild>
    </w:div>
    <w:div w:id="523329325">
      <w:bodyDiv w:val="1"/>
      <w:marLeft w:val="0"/>
      <w:marRight w:val="0"/>
      <w:marTop w:val="0"/>
      <w:marBottom w:val="0"/>
      <w:divBdr>
        <w:top w:val="none" w:sz="0" w:space="0" w:color="auto"/>
        <w:left w:val="none" w:sz="0" w:space="0" w:color="auto"/>
        <w:bottom w:val="none" w:sz="0" w:space="0" w:color="auto"/>
        <w:right w:val="none" w:sz="0" w:space="0" w:color="auto"/>
      </w:divBdr>
    </w:div>
    <w:div w:id="1940869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rebecca.deegan@actuaries.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footnotes.xml.rels><?xml version="1.0" encoding="UTF-8" standalone="yes"?>
<Relationships xmlns="http://schemas.openxmlformats.org/package/2006/relationships"><Relationship Id="rId3" Type="http://schemas.openxmlformats.org/officeDocument/2006/relationships/hyperlink" Target="https://www.actuaries.org.uk/documents/how-financial-products-can-work-alongside-care-act-2014-help-people-pay-care-december-2015" TargetMode="External"/><Relationship Id="rId2" Type="http://schemas.openxmlformats.org/officeDocument/2006/relationships/hyperlink" Target="https://www.actuaries.org.uk/documents/long-term-care-review-global-funding-models-0" TargetMode="External"/><Relationship Id="rId1" Type="http://schemas.openxmlformats.org/officeDocument/2006/relationships/hyperlink" Target="http://www.kingsfund.org.uk/projects/verdict/how-serious-are-pressures-social-care" TargetMode="External"/><Relationship Id="rId5" Type="http://schemas.openxmlformats.org/officeDocument/2006/relationships/hyperlink" Target="https://www.actuaries.org.uk/documents/wearable-technology-health-and-care-actuarys-perspective" TargetMode="External"/><Relationship Id="rId4" Type="http://schemas.openxmlformats.org/officeDocument/2006/relationships/hyperlink" Target="https://www.actuaries.org.uk/documents/how-pensions-can-meet-consumer-needs-under-new-social-care-regime-full-report-update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A9D80AF541634F88090DB549522CB9" ma:contentTypeVersion="1" ma:contentTypeDescription="Create a new document." ma:contentTypeScope="" ma:versionID="be7ea43377f7a82dc2d06363e000d1ab">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5643E-AF68-42C3-9319-56CC855438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BC38918-0529-4E28-9A10-9CB4F0C5A567}">
  <ds:schemaRefs>
    <ds:schemaRef ds:uri="http://schemas.microsoft.com/sharepoint/v3/contenttype/forms"/>
  </ds:schemaRefs>
</ds:datastoreItem>
</file>

<file path=customXml/itemProps3.xml><?xml version="1.0" encoding="utf-8"?>
<ds:datastoreItem xmlns:ds="http://schemas.openxmlformats.org/officeDocument/2006/customXml" ds:itemID="{37051565-9D5C-4838-A0B9-61643CF861DF}">
  <ds:schemaRefs>
    <ds:schemaRef ds:uri="http://schemas.microsoft.com/sharepoint/v3"/>
    <ds:schemaRef ds:uri="http://schemas.openxmlformats.org/package/2006/metadata/core-properties"/>
    <ds:schemaRef ds:uri="http://purl.org/dc/elements/1.1/"/>
    <ds:schemaRef ds:uri="http://purl.org/dc/dcmitype/"/>
    <ds:schemaRef ds:uri="http://purl.org/dc/terms/"/>
    <ds:schemaRef ds:uri="http://schemas.microsoft.com/office/2006/documentManagement/typ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B1A00D9E-CBC8-403D-A953-6CCF38BEE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4086C595</Template>
  <TotalTime>3</TotalTime>
  <Pages>6</Pages>
  <Words>2668</Words>
  <Characters>15214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IFoA</Company>
  <LinksUpToDate>false</LinksUpToDate>
  <CharactersWithSpaces>17847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Catherine Burtle</cp:lastModifiedBy>
  <cp:revision>5</cp:revision>
  <cp:lastPrinted>2012-12-17T18:03:00Z</cp:lastPrinted>
  <dcterms:created xsi:type="dcterms:W3CDTF">2016-09-20T16:57:00Z</dcterms:created>
  <dcterms:modified xsi:type="dcterms:W3CDTF">2016-09-21T08:37:00Z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0x01010065A9D80AF541634F88090DB549522CB9</vt:lpwstr>
  </property>
</Properties>
</file>