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325" w:rsidRPr="009C6C32" w:rsidRDefault="00D84325" w:rsidP="009C6C32">
      <w:pPr>
        <w:pStyle w:val="Heading2"/>
      </w:pPr>
    </w:p>
    <w:p w:rsidR="00E809E4" w:rsidRPr="004802E3" w:rsidRDefault="00E809E4" w:rsidP="004802E3">
      <w:pPr>
        <w:spacing w:after="0" w:line="250" w:lineRule="exact"/>
        <w:rPr>
          <w:rFonts w:cs="Arial"/>
          <w:color w:val="484E52" w:themeColor="text1" w:themeTint="F2"/>
          <w:szCs w:val="20"/>
        </w:rPr>
      </w:pPr>
    </w:p>
    <w:p w:rsidR="009D752A" w:rsidRDefault="009D752A" w:rsidP="004802E3">
      <w:pPr>
        <w:spacing w:after="0" w:line="250" w:lineRule="exact"/>
        <w:rPr>
          <w:rFonts w:cs="Arial"/>
          <w:color w:val="484E52" w:themeColor="text1" w:themeTint="F2"/>
          <w:szCs w:val="20"/>
        </w:rPr>
      </w:pPr>
    </w:p>
    <w:p w:rsidR="009D752A" w:rsidRDefault="009D752A" w:rsidP="004802E3">
      <w:pPr>
        <w:spacing w:after="0" w:line="250" w:lineRule="exact"/>
        <w:rPr>
          <w:rFonts w:cs="Arial"/>
          <w:color w:val="484E52" w:themeColor="text1" w:themeTint="F2"/>
          <w:szCs w:val="20"/>
        </w:rPr>
      </w:pPr>
    </w:p>
    <w:p w:rsidR="009D752A" w:rsidRDefault="009D752A" w:rsidP="004802E3">
      <w:pPr>
        <w:spacing w:after="0" w:line="250" w:lineRule="exact"/>
        <w:rPr>
          <w:rFonts w:cs="Arial"/>
          <w:color w:val="484E52" w:themeColor="text1" w:themeTint="F2"/>
          <w:szCs w:val="20"/>
        </w:rPr>
      </w:pPr>
    </w:p>
    <w:p w:rsidR="009D752A" w:rsidRDefault="009D752A" w:rsidP="004802E3">
      <w:pPr>
        <w:spacing w:after="0" w:line="250" w:lineRule="exact"/>
        <w:rPr>
          <w:rFonts w:cs="Arial"/>
          <w:color w:val="484E52" w:themeColor="text1" w:themeTint="F2"/>
          <w:szCs w:val="20"/>
        </w:rPr>
      </w:pPr>
    </w:p>
    <w:p w:rsidR="009D752A" w:rsidRDefault="009D752A" w:rsidP="004802E3">
      <w:pPr>
        <w:spacing w:after="0" w:line="250" w:lineRule="exact"/>
        <w:rPr>
          <w:rFonts w:cs="Arial"/>
          <w:color w:val="484E52" w:themeColor="text1" w:themeTint="F2"/>
          <w:szCs w:val="20"/>
        </w:rPr>
      </w:pPr>
    </w:p>
    <w:p w:rsidR="001D1BD8" w:rsidRDefault="001D1BD8" w:rsidP="00B24A17">
      <w:pPr>
        <w:spacing w:after="0" w:line="250" w:lineRule="exact"/>
        <w:rPr>
          <w:rFonts w:cs="Arial"/>
          <w:color w:val="484E52" w:themeColor="text1" w:themeTint="F2"/>
          <w:szCs w:val="20"/>
        </w:rPr>
      </w:pPr>
    </w:p>
    <w:p w:rsidR="00B24A17" w:rsidRDefault="00190F29" w:rsidP="00B24A17">
      <w:pPr>
        <w:spacing w:after="0" w:line="250" w:lineRule="exact"/>
        <w:rPr>
          <w:rFonts w:cs="Arial"/>
        </w:rPr>
      </w:pPr>
      <w:r>
        <w:rPr>
          <w:rFonts w:cs="Arial"/>
          <w:noProof/>
          <w:szCs w:val="20"/>
          <w:lang w:eastAsia="en-GB"/>
        </w:rPr>
        <mc:AlternateContent>
          <mc:Choice Requires="wps">
            <w:drawing>
              <wp:anchor distT="0" distB="0" distL="114300" distR="114300" simplePos="0" relativeHeight="251659264" behindDoc="0" locked="0" layoutInCell="1" allowOverlap="1" wp14:anchorId="0A877CCF" wp14:editId="0ACBBCE3">
                <wp:simplePos x="0" y="0"/>
                <wp:positionH relativeFrom="margin">
                  <wp:align>right</wp:align>
                </wp:positionH>
                <wp:positionV relativeFrom="paragraph">
                  <wp:posOffset>636270</wp:posOffset>
                </wp:positionV>
                <wp:extent cx="6191885" cy="4108450"/>
                <wp:effectExtent l="19050" t="19050" r="18415" b="25400"/>
                <wp:wrapSquare wrapText="bothSides"/>
                <wp:docPr id="9" name="Text Box 9"/>
                <wp:cNvGraphicFramePr/>
                <a:graphic xmlns:a="http://schemas.openxmlformats.org/drawingml/2006/main">
                  <a:graphicData uri="http://schemas.microsoft.com/office/word/2010/wordprocessingShape">
                    <wps:wsp>
                      <wps:cNvSpPr txBox="1"/>
                      <wps:spPr>
                        <a:xfrm>
                          <a:off x="0" y="0"/>
                          <a:ext cx="6191885" cy="4108704"/>
                        </a:xfrm>
                        <a:prstGeom prst="rect">
                          <a:avLst/>
                        </a:prstGeom>
                        <a:solidFill>
                          <a:schemeClr val="lt1"/>
                        </a:solidFill>
                        <a:ln w="28575">
                          <a:solidFill>
                            <a:srgbClr val="D9AB16"/>
                          </a:solidFill>
                        </a:ln>
                        <a:effectLst/>
                      </wps:spPr>
                      <wps:style>
                        <a:lnRef idx="0">
                          <a:schemeClr val="accent1"/>
                        </a:lnRef>
                        <a:fillRef idx="0">
                          <a:schemeClr val="accent1"/>
                        </a:fillRef>
                        <a:effectRef idx="0">
                          <a:schemeClr val="accent1"/>
                        </a:effectRef>
                        <a:fontRef idx="minor">
                          <a:schemeClr val="dk1"/>
                        </a:fontRef>
                      </wps:style>
                      <wps:txbx>
                        <w:txbxContent>
                          <w:p w:rsidR="00B24A17" w:rsidRPr="00B24A17" w:rsidRDefault="00B24A17" w:rsidP="00B24A17">
                            <w:pPr>
                              <w:rPr>
                                <w:rFonts w:cs="Arial"/>
                                <w:b/>
                              </w:rPr>
                            </w:pPr>
                            <w:r w:rsidRPr="00B24A17">
                              <w:rPr>
                                <w:rFonts w:cs="Arial"/>
                                <w:b/>
                              </w:rPr>
                              <w:t>Key Points</w:t>
                            </w:r>
                          </w:p>
                          <w:p w:rsidR="00190F29" w:rsidRPr="00190F29" w:rsidRDefault="00190F29" w:rsidP="00190F29">
                            <w:pPr>
                              <w:numPr>
                                <w:ilvl w:val="0"/>
                                <w:numId w:val="2"/>
                              </w:numPr>
                              <w:rPr>
                                <w:rFonts w:cs="Arial"/>
                              </w:rPr>
                            </w:pPr>
                            <w:r w:rsidRPr="00190F29">
                              <w:rPr>
                                <w:rFonts w:cs="Arial"/>
                              </w:rPr>
                              <w:t>The main objective of the policy should be to help trustees, employers, advisers and other parties to continue with normal business activities, accepted standards of corporate behaviour and the proper running of pension schemes by setting clear boundaries within which TPR believes parties can safely operate</w:t>
                            </w:r>
                            <w:r w:rsidR="00C96677">
                              <w:rPr>
                                <w:rFonts w:cs="Arial"/>
                              </w:rPr>
                              <w:t xml:space="preserve">. </w:t>
                            </w:r>
                            <w:r w:rsidRPr="00190F29">
                              <w:rPr>
                                <w:rFonts w:cs="Arial"/>
                              </w:rPr>
                              <w:t>This would enable TPR to focus on preventing or punishing the activities of unscrupulous parties, in line with the policy intent.</w:t>
                            </w:r>
                          </w:p>
                          <w:p w:rsidR="00190F29" w:rsidRPr="00190F29" w:rsidRDefault="00190F29" w:rsidP="00190F29">
                            <w:pPr>
                              <w:numPr>
                                <w:ilvl w:val="0"/>
                                <w:numId w:val="2"/>
                              </w:numPr>
                              <w:rPr>
                                <w:rFonts w:cs="Arial"/>
                              </w:rPr>
                            </w:pPr>
                            <w:r w:rsidRPr="00190F29">
                              <w:rPr>
                                <w:rFonts w:cs="Arial"/>
                              </w:rPr>
                              <w:t>To achieve this, the examples in the policy must be wider and should explore areas of uncertainty.  It is also essential that the policy should not introduce uncertainty where it did not previously exist.</w:t>
                            </w:r>
                          </w:p>
                          <w:p w:rsidR="00190F29" w:rsidRPr="00190F29" w:rsidRDefault="00190F29" w:rsidP="00190F29">
                            <w:pPr>
                              <w:numPr>
                                <w:ilvl w:val="0"/>
                                <w:numId w:val="2"/>
                              </w:numPr>
                              <w:rPr>
                                <w:rFonts w:cs="Arial"/>
                              </w:rPr>
                            </w:pPr>
                            <w:r w:rsidRPr="00190F29">
                              <w:rPr>
                                <w:rFonts w:cs="Arial"/>
                              </w:rPr>
                              <w:t xml:space="preserve">There are a number of common activities carried out by trustees with professional advice that could helpfully be excluded from the new powers (or deemed to be with reasonable excuse), in order to avoid a paralysis of decision-making and to enable a focus on deterring inappropriate conduct. For example, where in accordance with legal requirements, the management of section 75 debts and scheme funding decisions should be definitively excluded. </w:t>
                            </w:r>
                          </w:p>
                          <w:p w:rsidR="00190F29" w:rsidRPr="00190F29" w:rsidRDefault="00190F29" w:rsidP="00190F29">
                            <w:pPr>
                              <w:numPr>
                                <w:ilvl w:val="0"/>
                                <w:numId w:val="2"/>
                              </w:numPr>
                              <w:rPr>
                                <w:rFonts w:cs="Arial"/>
                              </w:rPr>
                            </w:pPr>
                            <w:r w:rsidRPr="00190F29">
                              <w:rPr>
                                <w:rFonts w:cs="Arial"/>
                              </w:rPr>
                              <w:t>We would welcome more clarity regarding the selection of cases for investigation, and warn against selecting cases primarily for the deterrence effect.  The costs, time and reputational damage resulting from a TPR criminal investigation could be significant and damaging to business, even where no criminal penalties result</w:t>
                            </w:r>
                            <w:r>
                              <w:rPr>
                                <w:rFonts w:cs="Arial"/>
                              </w:rPr>
                              <w:t>.</w:t>
                            </w:r>
                          </w:p>
                          <w:p w:rsidR="00B24A17" w:rsidRPr="00C96677" w:rsidRDefault="00190F29" w:rsidP="00C96677">
                            <w:pPr>
                              <w:numPr>
                                <w:ilvl w:val="0"/>
                                <w:numId w:val="2"/>
                              </w:numPr>
                              <w:rPr>
                                <w:rFonts w:cs="Arial"/>
                              </w:rPr>
                            </w:pPr>
                            <w:r w:rsidRPr="00190F29">
                              <w:rPr>
                                <w:rFonts w:cs="Arial"/>
                              </w:rPr>
                              <w:t>In general, we would encourage TPR to be bold when finalising the policy, to ensure it achieves its objectives and complements the legislation.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877CCF" id="_x0000_t202" coordsize="21600,21600" o:spt="202" path="m,l,21600r21600,l21600,xe">
                <v:stroke joinstyle="miter"/>
                <v:path gradientshapeok="t" o:connecttype="rect"/>
              </v:shapetype>
              <v:shape id="Text Box 9" o:spid="_x0000_s1026" type="#_x0000_t202" style="position:absolute;margin-left:436.35pt;margin-top:50.1pt;width:487.55pt;height:32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" fillcolor="white [3201]" strokecolor="#d9ab16" strokeweight="2.25pt">
                <v:textbox>
                  <w:txbxContent>
                    <w:p w:rsidR="00B24A17" w:rsidRPr="00B24A17" w:rsidRDefault="00B24A17" w:rsidP="00B24A17">
                      <w:pPr>
                        <w:rPr>
                          <w:rFonts w:cs="Arial"/>
                          <w:b/>
                        </w:rPr>
                      </w:pPr>
                      <w:r w:rsidRPr="00B24A17">
                        <w:rPr>
                          <w:rFonts w:cs="Arial"/>
                          <w:b/>
                        </w:rPr>
                        <w:t>Key Points</w:t>
                      </w:r>
                    </w:p>
                    <w:p w:rsidR="00190F29" w:rsidRPr="00190F29" w:rsidRDefault="00190F29" w:rsidP="00190F29">
                      <w:pPr>
                        <w:numPr>
                          <w:ilvl w:val="0"/>
                          <w:numId w:val="2"/>
                        </w:numPr>
                        <w:rPr>
                          <w:rFonts w:cs="Arial"/>
                        </w:rPr>
                      </w:pPr>
                      <w:r w:rsidRPr="00190F29">
                        <w:rPr>
                          <w:rFonts w:cs="Arial"/>
                        </w:rPr>
                        <w:t>The main objective of the policy should be to help trustees, employers, advisers and other parties to continue with normal business activities, accepted standards of corporate behaviour and the proper running of pension schemes by setting clear boundaries within which TPR believes parties can safely operate</w:t>
                      </w:r>
                      <w:r w:rsidR="00C96677">
                        <w:rPr>
                          <w:rFonts w:cs="Arial"/>
                        </w:rPr>
                        <w:t xml:space="preserve">. </w:t>
                      </w:r>
                      <w:r w:rsidRPr="00190F29">
                        <w:rPr>
                          <w:rFonts w:cs="Arial"/>
                        </w:rPr>
                        <w:t>This would enable TPR to focus on preventing or punishing the activities of unscrupulous parties, in line with the policy intent.</w:t>
                      </w:r>
                    </w:p>
                    <w:p w:rsidR="00190F29" w:rsidRPr="00190F29" w:rsidRDefault="00190F29" w:rsidP="00190F29">
                      <w:pPr>
                        <w:numPr>
                          <w:ilvl w:val="0"/>
                          <w:numId w:val="2"/>
                        </w:numPr>
                        <w:rPr>
                          <w:rFonts w:cs="Arial"/>
                        </w:rPr>
                      </w:pPr>
                      <w:r w:rsidRPr="00190F29">
                        <w:rPr>
                          <w:rFonts w:cs="Arial"/>
                        </w:rPr>
                        <w:t>To achieve this, the examples in the policy must be wider and should explore areas of uncertainty.  It is also essential that the policy should not introduce uncertainty where it did not previously exist.</w:t>
                      </w:r>
                    </w:p>
                    <w:p w:rsidR="00190F29" w:rsidRPr="00190F29" w:rsidRDefault="00190F29" w:rsidP="00190F29">
                      <w:pPr>
                        <w:numPr>
                          <w:ilvl w:val="0"/>
                          <w:numId w:val="2"/>
                        </w:numPr>
                        <w:rPr>
                          <w:rFonts w:cs="Arial"/>
                        </w:rPr>
                      </w:pPr>
                      <w:r w:rsidRPr="00190F29">
                        <w:rPr>
                          <w:rFonts w:cs="Arial"/>
                        </w:rPr>
                        <w:t xml:space="preserve">There are a number of common activities carried out by trustees with professional advice that could helpfully be excluded from the new powers (or deemed to be with reasonable excuse), in order to avoid a paralysis of decision-making and to enable a focus on deterring inappropriate conduct. For example, where in accordance with legal requirements, the management of section 75 debts and scheme funding decisions should be definitively excluded. </w:t>
                      </w:r>
                    </w:p>
                    <w:p w:rsidR="00190F29" w:rsidRPr="00190F29" w:rsidRDefault="00190F29" w:rsidP="00190F29">
                      <w:pPr>
                        <w:numPr>
                          <w:ilvl w:val="0"/>
                          <w:numId w:val="2"/>
                        </w:numPr>
                        <w:rPr>
                          <w:rFonts w:cs="Arial"/>
                        </w:rPr>
                      </w:pPr>
                      <w:r w:rsidRPr="00190F29">
                        <w:rPr>
                          <w:rFonts w:cs="Arial"/>
                        </w:rPr>
                        <w:t>We would welcome more clarity regarding the selection of cases for investigation, and warn against selecting cases primarily for the deterrence effect.  The costs, time and reputational damage resulting from a TPR criminal investigation could be significant and damaging to business, even where no criminal penalties result</w:t>
                      </w:r>
                      <w:r>
                        <w:rPr>
                          <w:rFonts w:cs="Arial"/>
                        </w:rPr>
                        <w:t>.</w:t>
                      </w:r>
                    </w:p>
                    <w:p w:rsidR="00B24A17" w:rsidRPr="00C96677" w:rsidRDefault="00190F29" w:rsidP="00C96677">
                      <w:pPr>
                        <w:numPr>
                          <w:ilvl w:val="0"/>
                          <w:numId w:val="2"/>
                        </w:numPr>
                        <w:rPr>
                          <w:rFonts w:cs="Arial"/>
                        </w:rPr>
                      </w:pPr>
                      <w:r w:rsidRPr="00190F29">
                        <w:rPr>
                          <w:rFonts w:cs="Arial"/>
                        </w:rPr>
                        <w:t>In general, we would encourage TPR to be bold when finalising the policy, to ensure it achieves its objectives and complements the legislation.</w:t>
                      </w:r>
                    </w:p>
                  </w:txbxContent>
                </v:textbox>
                <w10:wrap type="square" anchorx="margin"/>
              </v:shape>
            </w:pict>
          </mc:Fallback>
        </mc:AlternateContent>
      </w:r>
      <w:r w:rsidR="004802E3">
        <w:rPr>
          <w:rFonts w:cs="Arial"/>
          <w:color w:val="484E52" w:themeColor="text1" w:themeTint="F2"/>
          <w:szCs w:val="20"/>
        </w:rPr>
        <w:t>T</w:t>
      </w:r>
      <w:r w:rsidR="004802E3" w:rsidRPr="004802E3">
        <w:rPr>
          <w:rFonts w:cs="Arial"/>
          <w:color w:val="484E52" w:themeColor="text1" w:themeTint="F2"/>
          <w:szCs w:val="20"/>
        </w:rPr>
        <w:t>he Institute and Faculty of Actuaries (IFoA) welcomes the opportunity to respond to</w:t>
      </w:r>
      <w:r w:rsidR="00A31E1B">
        <w:rPr>
          <w:rFonts w:cs="Arial"/>
          <w:color w:val="484E52" w:themeColor="text1" w:themeTint="F2"/>
          <w:szCs w:val="20"/>
        </w:rPr>
        <w:t xml:space="preserve"> </w:t>
      </w:r>
      <w:r w:rsidR="00C96677">
        <w:rPr>
          <w:rFonts w:cs="Arial"/>
          <w:color w:val="484E52" w:themeColor="text1" w:themeTint="F2"/>
          <w:szCs w:val="20"/>
        </w:rPr>
        <w:t>T</w:t>
      </w:r>
      <w:r w:rsidR="003F5BB9">
        <w:rPr>
          <w:rFonts w:cs="Arial"/>
          <w:color w:val="484E52" w:themeColor="text1" w:themeTint="F2"/>
          <w:szCs w:val="20"/>
        </w:rPr>
        <w:t xml:space="preserve">he </w:t>
      </w:r>
      <w:r w:rsidR="00C96677">
        <w:rPr>
          <w:rFonts w:cs="Arial"/>
          <w:color w:val="484E52" w:themeColor="text1" w:themeTint="F2"/>
          <w:szCs w:val="20"/>
        </w:rPr>
        <w:t>Pension Regulator’s</w:t>
      </w:r>
      <w:r w:rsidR="004802E3">
        <w:rPr>
          <w:rFonts w:cs="Arial"/>
          <w:color w:val="484E52" w:themeColor="text1" w:themeTint="F2"/>
          <w:szCs w:val="20"/>
        </w:rPr>
        <w:t xml:space="preserve"> </w:t>
      </w:r>
      <w:r w:rsidR="003A53DE">
        <w:rPr>
          <w:rFonts w:cs="Arial"/>
          <w:color w:val="484E52" w:themeColor="text1" w:themeTint="F2"/>
          <w:szCs w:val="20"/>
        </w:rPr>
        <w:t xml:space="preserve">consultation on </w:t>
      </w:r>
      <w:r w:rsidR="00C96677">
        <w:rPr>
          <w:rFonts w:cs="Arial"/>
          <w:color w:val="484E52" w:themeColor="text1" w:themeTint="F2"/>
          <w:szCs w:val="20"/>
        </w:rPr>
        <w:t>its approach to the investigation and prosecution of the new criminal powers stemming from the Pensions Schemes Act 2021.</w:t>
      </w:r>
      <w:r w:rsidR="003A53DE">
        <w:rPr>
          <w:rFonts w:cs="Arial"/>
          <w:color w:val="484E52" w:themeColor="text1" w:themeTint="F2"/>
          <w:szCs w:val="20"/>
        </w:rPr>
        <w:t xml:space="preserve"> </w:t>
      </w:r>
      <w:r w:rsidR="003F5BB9">
        <w:rPr>
          <w:rFonts w:cs="Arial"/>
        </w:rPr>
        <w:t>Below are the key points we wish to make.</w:t>
      </w:r>
    </w:p>
    <w:p w:rsidR="00A31E1B" w:rsidRDefault="00A31E1B" w:rsidP="00B24A17">
      <w:pPr>
        <w:spacing w:after="0" w:line="250" w:lineRule="exact"/>
        <w:rPr>
          <w:rFonts w:cs="Arial"/>
        </w:rPr>
      </w:pPr>
    </w:p>
    <w:p w:rsidR="00B24A17" w:rsidRPr="00B24A17" w:rsidRDefault="00B24A17" w:rsidP="00B24A17">
      <w:pPr>
        <w:spacing w:after="0" w:line="250" w:lineRule="exact"/>
        <w:rPr>
          <w:rFonts w:cs="Arial"/>
          <w:color w:val="484E52" w:themeColor="text1" w:themeTint="F2"/>
          <w:szCs w:val="20"/>
        </w:rPr>
      </w:pPr>
      <w:r w:rsidRPr="004802E3">
        <w:t>Should you w</w:t>
      </w:r>
      <w:r>
        <w:t>ish</w:t>
      </w:r>
      <w:r w:rsidRPr="004802E3">
        <w:t xml:space="preserve"> to discuss any of the points raised </w:t>
      </w:r>
      <w:r>
        <w:t xml:space="preserve">in this submission in more detail </w:t>
      </w:r>
      <w:r w:rsidRPr="004802E3">
        <w:t xml:space="preserve">please contact </w:t>
      </w:r>
      <w:r>
        <w:t xml:space="preserve">Caolan Ward, Policy Manager, </w:t>
      </w:r>
      <w:r w:rsidRPr="004802E3">
        <w:t>(</w:t>
      </w:r>
      <w:hyperlink r:id="rId11" w:history="1">
        <w:r w:rsidRPr="00E56F77">
          <w:rPr>
            <w:rStyle w:val="Hyperlink"/>
          </w:rPr>
          <w:t>caolan.ward@actuaries.org.uk</w:t>
        </w:r>
      </w:hyperlink>
      <w:r>
        <w:t>) in the first</w:t>
      </w:r>
      <w:r w:rsidRPr="004802E3">
        <w:t xml:space="preserve"> instance.</w:t>
      </w:r>
    </w:p>
    <w:p w:rsidR="00190F29" w:rsidRDefault="00190F29" w:rsidP="00190F29">
      <w:pPr>
        <w:spacing w:after="0"/>
        <w:rPr>
          <w:rFonts w:cs="Arial"/>
          <w:color w:val="484E52" w:themeColor="text1" w:themeTint="F2"/>
          <w:szCs w:val="20"/>
        </w:rPr>
      </w:pPr>
    </w:p>
    <w:p w:rsidR="00C96677" w:rsidRDefault="00C96677" w:rsidP="00190F29">
      <w:pPr>
        <w:spacing w:after="0"/>
        <w:rPr>
          <w:rFonts w:cs="Arial"/>
          <w:color w:val="484E52" w:themeColor="text1" w:themeTint="F2"/>
          <w:szCs w:val="20"/>
        </w:rPr>
      </w:pPr>
    </w:p>
    <w:p w:rsidR="00190F29" w:rsidRDefault="00190F29" w:rsidP="00190F29">
      <w:pPr>
        <w:spacing w:after="0"/>
        <w:rPr>
          <w:rFonts w:cs="Arial"/>
          <w:color w:val="484E52" w:themeColor="text1" w:themeTint="F2"/>
          <w:szCs w:val="20"/>
        </w:rPr>
      </w:pPr>
      <w:r>
        <w:rPr>
          <w:rFonts w:cs="Arial"/>
          <w:color w:val="484E52" w:themeColor="text1" w:themeTint="F2"/>
          <w:szCs w:val="20"/>
        </w:rPr>
        <w:lastRenderedPageBreak/>
        <w:t>The Pensions Regulator</w:t>
      </w:r>
    </w:p>
    <w:p w:rsidR="00190F29" w:rsidRDefault="00190F29" w:rsidP="00190F29">
      <w:pPr>
        <w:spacing w:after="0"/>
        <w:rPr>
          <w:rFonts w:cs="Arial"/>
          <w:color w:val="484E52" w:themeColor="text1" w:themeTint="F2"/>
          <w:szCs w:val="20"/>
        </w:rPr>
      </w:pPr>
      <w:r w:rsidRPr="00190F29">
        <w:rPr>
          <w:rFonts w:cs="Arial"/>
          <w:color w:val="484E52" w:themeColor="text1" w:themeTint="F2"/>
          <w:szCs w:val="20"/>
        </w:rPr>
        <w:t xml:space="preserve">Napier House </w:t>
      </w:r>
    </w:p>
    <w:p w:rsidR="00190F29" w:rsidRDefault="00190F29" w:rsidP="00190F29">
      <w:pPr>
        <w:spacing w:after="0"/>
        <w:rPr>
          <w:rFonts w:cs="Arial"/>
          <w:color w:val="484E52" w:themeColor="text1" w:themeTint="F2"/>
          <w:szCs w:val="20"/>
        </w:rPr>
      </w:pPr>
      <w:r w:rsidRPr="00190F29">
        <w:rPr>
          <w:rFonts w:cs="Arial"/>
          <w:color w:val="484E52" w:themeColor="text1" w:themeTint="F2"/>
          <w:szCs w:val="20"/>
        </w:rPr>
        <w:t xml:space="preserve">Trafalgar Place </w:t>
      </w:r>
    </w:p>
    <w:p w:rsidR="00190F29" w:rsidRDefault="00190F29" w:rsidP="00190F29">
      <w:pPr>
        <w:spacing w:after="0"/>
        <w:rPr>
          <w:rFonts w:cs="Arial"/>
          <w:color w:val="484E52" w:themeColor="text1" w:themeTint="F2"/>
          <w:szCs w:val="20"/>
        </w:rPr>
      </w:pPr>
      <w:r w:rsidRPr="00190F29">
        <w:rPr>
          <w:rFonts w:cs="Arial"/>
          <w:color w:val="484E52" w:themeColor="text1" w:themeTint="F2"/>
          <w:szCs w:val="20"/>
        </w:rPr>
        <w:t xml:space="preserve">Brighton </w:t>
      </w:r>
    </w:p>
    <w:p w:rsidR="00190F29" w:rsidRDefault="00190F29" w:rsidP="00190F29">
      <w:pPr>
        <w:spacing w:after="0"/>
        <w:rPr>
          <w:rFonts w:cs="Arial"/>
          <w:color w:val="484E52" w:themeColor="text1" w:themeTint="F2"/>
          <w:szCs w:val="20"/>
        </w:rPr>
      </w:pPr>
      <w:r w:rsidRPr="00190F29">
        <w:rPr>
          <w:rFonts w:cs="Arial"/>
          <w:color w:val="484E52" w:themeColor="text1" w:themeTint="F2"/>
          <w:szCs w:val="20"/>
        </w:rPr>
        <w:t>BN1 4DW</w:t>
      </w:r>
      <w:r>
        <w:rPr>
          <w:rFonts w:cs="Arial"/>
          <w:color w:val="484E52" w:themeColor="text1" w:themeTint="F2"/>
          <w:szCs w:val="20"/>
        </w:rPr>
        <w:tab/>
      </w:r>
      <w:r>
        <w:rPr>
          <w:rFonts w:cs="Arial"/>
          <w:color w:val="484E52" w:themeColor="text1" w:themeTint="F2"/>
          <w:szCs w:val="20"/>
        </w:rPr>
        <w:tab/>
      </w:r>
      <w:r>
        <w:rPr>
          <w:rFonts w:cs="Arial"/>
          <w:color w:val="484E52" w:themeColor="text1" w:themeTint="F2"/>
          <w:szCs w:val="20"/>
        </w:rPr>
        <w:tab/>
      </w:r>
      <w:r>
        <w:rPr>
          <w:rFonts w:cs="Arial"/>
          <w:color w:val="484E52" w:themeColor="text1" w:themeTint="F2"/>
          <w:szCs w:val="20"/>
        </w:rPr>
        <w:tab/>
      </w:r>
      <w:r>
        <w:rPr>
          <w:rFonts w:cs="Arial"/>
          <w:color w:val="484E52" w:themeColor="text1" w:themeTint="F2"/>
          <w:szCs w:val="20"/>
        </w:rPr>
        <w:tab/>
      </w:r>
      <w:r>
        <w:rPr>
          <w:rFonts w:cs="Arial"/>
          <w:color w:val="484E52" w:themeColor="text1" w:themeTint="F2"/>
          <w:szCs w:val="20"/>
        </w:rPr>
        <w:tab/>
      </w:r>
      <w:r>
        <w:rPr>
          <w:rFonts w:cs="Arial"/>
          <w:color w:val="484E52" w:themeColor="text1" w:themeTint="F2"/>
          <w:szCs w:val="20"/>
        </w:rPr>
        <w:tab/>
      </w:r>
      <w:r>
        <w:rPr>
          <w:rFonts w:cs="Arial"/>
          <w:color w:val="484E52" w:themeColor="text1" w:themeTint="F2"/>
          <w:szCs w:val="20"/>
        </w:rPr>
        <w:tab/>
      </w:r>
      <w:r>
        <w:rPr>
          <w:rFonts w:cs="Arial"/>
          <w:color w:val="484E52" w:themeColor="text1" w:themeTint="F2"/>
          <w:szCs w:val="20"/>
        </w:rPr>
        <w:tab/>
      </w:r>
      <w:r>
        <w:rPr>
          <w:rFonts w:cs="Arial"/>
          <w:color w:val="484E52" w:themeColor="text1" w:themeTint="F2"/>
          <w:szCs w:val="20"/>
        </w:rPr>
        <w:tab/>
        <w:t>22 April</w:t>
      </w:r>
      <w:r>
        <w:rPr>
          <w:rFonts w:cs="Arial"/>
          <w:color w:val="484E52" w:themeColor="text1" w:themeTint="F2"/>
          <w:szCs w:val="20"/>
        </w:rPr>
        <w:t xml:space="preserve"> 2021</w:t>
      </w:r>
    </w:p>
    <w:p w:rsidR="00190F29" w:rsidRDefault="00190F29" w:rsidP="00190F29">
      <w:pPr>
        <w:spacing w:after="0"/>
        <w:ind w:firstLine="720"/>
        <w:jc w:val="center"/>
        <w:rPr>
          <w:rFonts w:cs="Arial"/>
          <w:b/>
          <w:color w:val="484E52" w:themeColor="text1" w:themeTint="F2"/>
          <w:szCs w:val="20"/>
        </w:rPr>
      </w:pPr>
    </w:p>
    <w:p w:rsidR="00190F29" w:rsidRDefault="00190F29" w:rsidP="00190F29">
      <w:pPr>
        <w:spacing w:after="0"/>
        <w:rPr>
          <w:rFonts w:cs="Arial"/>
          <w:b/>
          <w:color w:val="484E52" w:themeColor="text1" w:themeTint="F2"/>
          <w:szCs w:val="20"/>
        </w:rPr>
      </w:pPr>
    </w:p>
    <w:p w:rsidR="00190F29" w:rsidRDefault="00190F29" w:rsidP="00190F29">
      <w:pPr>
        <w:ind w:firstLine="720"/>
        <w:jc w:val="center"/>
        <w:rPr>
          <w:rFonts w:cs="Arial"/>
          <w:b/>
          <w:bCs/>
          <w:color w:val="484E52" w:themeColor="text1" w:themeTint="F2"/>
          <w:szCs w:val="20"/>
        </w:rPr>
      </w:pPr>
      <w:r>
        <w:rPr>
          <w:rFonts w:cs="Arial"/>
          <w:b/>
          <w:bCs/>
          <w:color w:val="484E52" w:themeColor="text1" w:themeTint="F2"/>
          <w:szCs w:val="20"/>
        </w:rPr>
        <w:t>Consultation on TPR’s</w:t>
      </w:r>
      <w:r w:rsidRPr="00190F29">
        <w:rPr>
          <w:rFonts w:cs="Arial"/>
          <w:b/>
          <w:bCs/>
          <w:color w:val="484E52" w:themeColor="text1" w:themeTint="F2"/>
          <w:szCs w:val="20"/>
        </w:rPr>
        <w:t xml:space="preserve"> approach to the investigation and prosecution of the new criminal offences</w:t>
      </w:r>
    </w:p>
    <w:p w:rsidR="00190F29" w:rsidRDefault="00190F29" w:rsidP="00190F29">
      <w:pPr>
        <w:spacing w:after="0"/>
        <w:jc w:val="both"/>
        <w:rPr>
          <w:rFonts w:cs="Arial"/>
          <w:color w:val="484E52" w:themeColor="text1" w:themeTint="F2"/>
          <w:szCs w:val="20"/>
          <w:lang w:val="en-US"/>
        </w:rPr>
      </w:pPr>
      <w:r w:rsidRPr="00200A99">
        <w:rPr>
          <w:rFonts w:cs="Arial"/>
          <w:color w:val="484E52" w:themeColor="text1" w:themeTint="F2"/>
          <w:szCs w:val="20"/>
          <w:lang w:val="en-US"/>
        </w:rPr>
        <w:t xml:space="preserve">The </w:t>
      </w:r>
      <w:r>
        <w:rPr>
          <w:rFonts w:cs="Arial"/>
          <w:color w:val="484E52" w:themeColor="text1" w:themeTint="F2"/>
          <w:szCs w:val="20"/>
          <w:lang w:val="en-US"/>
        </w:rPr>
        <w:t>Institute and Faculty of Actuaries (</w:t>
      </w:r>
      <w:r w:rsidRPr="00200A99">
        <w:rPr>
          <w:rFonts w:cs="Arial"/>
          <w:color w:val="484E52" w:themeColor="text1" w:themeTint="F2"/>
          <w:szCs w:val="20"/>
          <w:lang w:val="en-US"/>
        </w:rPr>
        <w:t>IFoA</w:t>
      </w:r>
      <w:r>
        <w:rPr>
          <w:rFonts w:cs="Arial"/>
          <w:color w:val="484E52" w:themeColor="text1" w:themeTint="F2"/>
          <w:szCs w:val="20"/>
          <w:lang w:val="en-US"/>
        </w:rPr>
        <w:t>)</w:t>
      </w:r>
      <w:r w:rsidRPr="00200A99">
        <w:rPr>
          <w:rFonts w:cs="Arial"/>
          <w:color w:val="484E52" w:themeColor="text1" w:themeTint="F2"/>
          <w:szCs w:val="20"/>
          <w:lang w:val="en-US"/>
        </w:rPr>
        <w:t xml:space="preserve"> is pleased to submit feedback for </w:t>
      </w:r>
      <w:r>
        <w:rPr>
          <w:rFonts w:cs="Arial"/>
          <w:color w:val="484E52" w:themeColor="text1" w:themeTint="F2"/>
          <w:szCs w:val="20"/>
          <w:lang w:val="en-US"/>
        </w:rPr>
        <w:t>TPR’s consultation on its approach to the investigation and prosecution of the new criminal offences stemming from the Pensions Schemes Act 2021</w:t>
      </w:r>
      <w:r>
        <w:rPr>
          <w:rFonts w:cs="Arial"/>
          <w:color w:val="484E52" w:themeColor="text1" w:themeTint="F2"/>
          <w:szCs w:val="20"/>
          <w:lang w:val="en-US"/>
        </w:rPr>
        <w:t>.</w:t>
      </w:r>
      <w:r w:rsidRPr="00200A99">
        <w:rPr>
          <w:rFonts w:cs="Arial"/>
          <w:color w:val="484E52" w:themeColor="text1" w:themeTint="F2"/>
          <w:szCs w:val="20"/>
          <w:lang w:val="en-US"/>
        </w:rPr>
        <w:t xml:space="preserve"> Within the actuarial profession we have experts in the technical detail, we have executives in small and large financial institutions, and we have experts working wit</w:t>
      </w:r>
      <w:r>
        <w:rPr>
          <w:rFonts w:cs="Arial"/>
          <w:color w:val="484E52" w:themeColor="text1" w:themeTint="F2"/>
          <w:szCs w:val="20"/>
          <w:lang w:val="en-US"/>
        </w:rPr>
        <w:t xml:space="preserve">h the financial system itself. </w:t>
      </w:r>
      <w:r w:rsidRPr="00200A99">
        <w:rPr>
          <w:rFonts w:cs="Arial"/>
          <w:color w:val="484E52" w:themeColor="text1" w:themeTint="F2"/>
          <w:szCs w:val="20"/>
          <w:lang w:val="en-US"/>
        </w:rPr>
        <w:t>Our outlook is rooted in our Royal Charter (dating back to 1884) and our long history of working with policymakers to effect change, and it is focused forwards on how actuaries will contribute to solving the problems of the 21</w:t>
      </w:r>
      <w:r w:rsidRPr="00200A99">
        <w:rPr>
          <w:rFonts w:cs="Arial"/>
          <w:color w:val="484E52" w:themeColor="text1" w:themeTint="F2"/>
          <w:szCs w:val="20"/>
          <w:vertAlign w:val="superscript"/>
          <w:lang w:val="en-US"/>
        </w:rPr>
        <w:t>st</w:t>
      </w:r>
      <w:r w:rsidRPr="00200A99">
        <w:rPr>
          <w:rFonts w:cs="Arial"/>
          <w:color w:val="484E52" w:themeColor="text1" w:themeTint="F2"/>
          <w:szCs w:val="20"/>
          <w:lang w:val="en-US"/>
        </w:rPr>
        <w:t xml:space="preserve"> century.</w:t>
      </w:r>
    </w:p>
    <w:p w:rsidR="00C96677" w:rsidRDefault="00C96677" w:rsidP="00190F29">
      <w:pPr>
        <w:spacing w:after="0"/>
        <w:jc w:val="both"/>
        <w:rPr>
          <w:rFonts w:cs="Arial"/>
          <w:color w:val="484E52" w:themeColor="text1" w:themeTint="F2"/>
          <w:szCs w:val="20"/>
          <w:lang w:val="en-US"/>
        </w:rPr>
      </w:pPr>
    </w:p>
    <w:p w:rsidR="00C96677" w:rsidRDefault="00C96677" w:rsidP="00190F29">
      <w:pPr>
        <w:spacing w:after="0"/>
        <w:jc w:val="both"/>
        <w:rPr>
          <w:rFonts w:cs="Arial"/>
          <w:color w:val="484E52" w:themeColor="text1" w:themeTint="F2"/>
          <w:szCs w:val="20"/>
          <w:lang w:val="en-US"/>
        </w:rPr>
      </w:pPr>
      <w:r>
        <w:rPr>
          <w:rFonts w:cs="Arial"/>
          <w:color w:val="484E52" w:themeColor="text1" w:themeTint="F2"/>
          <w:szCs w:val="20"/>
          <w:lang w:val="en-US"/>
        </w:rPr>
        <w:t>Please find the IFoA Pension Board and Pensions Consultation Committee’s response to each of the questions in the consultation below.</w:t>
      </w:r>
    </w:p>
    <w:p w:rsidR="00190F29" w:rsidRDefault="00190F29" w:rsidP="00190F29">
      <w:pPr>
        <w:spacing w:after="0"/>
        <w:jc w:val="both"/>
        <w:rPr>
          <w:rFonts w:cs="Arial"/>
          <w:color w:val="484E52" w:themeColor="text1" w:themeTint="F2"/>
          <w:szCs w:val="20"/>
          <w:lang w:val="en-US"/>
        </w:rPr>
      </w:pPr>
    </w:p>
    <w:p w:rsidR="00190F29" w:rsidRDefault="00190F29" w:rsidP="00190F29">
      <w:pPr>
        <w:spacing w:after="0"/>
        <w:jc w:val="both"/>
        <w:rPr>
          <w:rFonts w:cs="Arial"/>
          <w:color w:val="484E52" w:themeColor="text1" w:themeTint="F2"/>
          <w:szCs w:val="20"/>
          <w:lang w:val="en-US"/>
        </w:rPr>
      </w:pPr>
    </w:p>
    <w:p w:rsidR="00C96677" w:rsidRPr="00C96677" w:rsidRDefault="00C96677" w:rsidP="00C96677">
      <w:pPr>
        <w:numPr>
          <w:ilvl w:val="0"/>
          <w:numId w:val="4"/>
        </w:numPr>
        <w:spacing w:after="0"/>
        <w:jc w:val="both"/>
        <w:rPr>
          <w:rFonts w:cs="Arial"/>
          <w:b/>
          <w:color w:val="484E52" w:themeColor="text1" w:themeTint="F2"/>
          <w:szCs w:val="20"/>
        </w:rPr>
      </w:pPr>
      <w:r w:rsidRPr="00C96677">
        <w:rPr>
          <w:rFonts w:cs="Arial"/>
          <w:b/>
          <w:color w:val="484E52" w:themeColor="text1" w:themeTint="F2"/>
          <w:szCs w:val="20"/>
        </w:rPr>
        <w:t>Given that the offences have now been set in law, is our overall approach consistent with the policy intent?</w:t>
      </w:r>
    </w:p>
    <w:p w:rsidR="00C96677" w:rsidRDefault="00C96677" w:rsidP="00C96677">
      <w:pPr>
        <w:spacing w:after="0"/>
        <w:jc w:val="both"/>
        <w:rPr>
          <w:rFonts w:cs="Arial"/>
          <w:color w:val="484E52" w:themeColor="text1" w:themeTint="F2"/>
          <w:szCs w:val="20"/>
        </w:rPr>
      </w:pPr>
    </w:p>
    <w:p w:rsidR="00C96677" w:rsidRPr="00C96677" w:rsidRDefault="00C96677" w:rsidP="00C96677">
      <w:pPr>
        <w:spacing w:after="0"/>
        <w:jc w:val="both"/>
        <w:rPr>
          <w:rFonts w:cs="Arial"/>
          <w:color w:val="484E52" w:themeColor="text1" w:themeTint="F2"/>
          <w:szCs w:val="20"/>
        </w:rPr>
      </w:pPr>
      <w:r w:rsidRPr="00C96677">
        <w:rPr>
          <w:rFonts w:cs="Arial"/>
          <w:color w:val="484E52" w:themeColor="text1" w:themeTint="F2"/>
          <w:szCs w:val="20"/>
        </w:rPr>
        <w:t>Yes/no:   No</w:t>
      </w:r>
    </w:p>
    <w:p w:rsidR="00C96677" w:rsidRDefault="00C96677" w:rsidP="00C96677">
      <w:pPr>
        <w:spacing w:after="0"/>
        <w:jc w:val="both"/>
        <w:rPr>
          <w:rFonts w:cs="Arial"/>
          <w:color w:val="484E52" w:themeColor="text1" w:themeTint="F2"/>
          <w:szCs w:val="20"/>
        </w:rPr>
      </w:pPr>
    </w:p>
    <w:p w:rsidR="00C96677" w:rsidRDefault="00C96677" w:rsidP="00C96677">
      <w:pPr>
        <w:spacing w:after="0"/>
        <w:jc w:val="both"/>
        <w:rPr>
          <w:rFonts w:cs="Arial"/>
          <w:color w:val="484E52" w:themeColor="text1" w:themeTint="F2"/>
          <w:szCs w:val="20"/>
        </w:rPr>
      </w:pPr>
      <w:r w:rsidRPr="00C96677">
        <w:rPr>
          <w:rFonts w:cs="Arial"/>
          <w:color w:val="484E52" w:themeColor="text1" w:themeTint="F2"/>
          <w:szCs w:val="20"/>
        </w:rPr>
        <w:t>Comment:</w:t>
      </w:r>
    </w:p>
    <w:p w:rsidR="00C96677" w:rsidRPr="00C96677" w:rsidRDefault="00C96677" w:rsidP="00C96677">
      <w:pPr>
        <w:spacing w:after="0"/>
        <w:jc w:val="both"/>
        <w:rPr>
          <w:rFonts w:cs="Arial"/>
          <w:color w:val="484E52" w:themeColor="text1" w:themeTint="F2"/>
          <w:szCs w:val="20"/>
        </w:rPr>
      </w:pPr>
    </w:p>
    <w:p w:rsidR="00C96677" w:rsidRPr="00C96677" w:rsidRDefault="00C96677" w:rsidP="00C96677">
      <w:pPr>
        <w:numPr>
          <w:ilvl w:val="0"/>
          <w:numId w:val="5"/>
        </w:numPr>
        <w:spacing w:after="0"/>
        <w:jc w:val="both"/>
        <w:rPr>
          <w:rFonts w:cs="Arial"/>
          <w:color w:val="484E52" w:themeColor="text1" w:themeTint="F2"/>
          <w:szCs w:val="20"/>
        </w:rPr>
      </w:pPr>
      <w:r w:rsidRPr="00C96677">
        <w:rPr>
          <w:rFonts w:cs="Arial"/>
          <w:color w:val="484E52" w:themeColor="text1" w:themeTint="F2"/>
          <w:szCs w:val="20"/>
        </w:rPr>
        <w:t>The IFoA is fully supportive of the Government’s stated policy intent to punish wilful or reckless actions of employers, and we are very happy to work with the Government and TPR to achieve this.</w:t>
      </w:r>
      <w:r w:rsidRPr="00C96677">
        <w:rPr>
          <w:rFonts w:cs="Arial"/>
          <w:color w:val="484E52" w:themeColor="text1" w:themeTint="F2"/>
          <w:szCs w:val="20"/>
        </w:rPr>
        <w:br/>
      </w:r>
    </w:p>
    <w:p w:rsidR="00C96677" w:rsidRPr="00C96677" w:rsidRDefault="00C96677" w:rsidP="00C96677">
      <w:pPr>
        <w:numPr>
          <w:ilvl w:val="0"/>
          <w:numId w:val="5"/>
        </w:numPr>
        <w:spacing w:after="0"/>
        <w:jc w:val="both"/>
        <w:rPr>
          <w:rFonts w:cs="Arial"/>
          <w:color w:val="484E52" w:themeColor="text1" w:themeTint="F2"/>
          <w:szCs w:val="20"/>
        </w:rPr>
      </w:pPr>
      <w:r w:rsidRPr="00C96677">
        <w:rPr>
          <w:rFonts w:cs="Arial"/>
          <w:color w:val="484E52" w:themeColor="text1" w:themeTint="F2"/>
          <w:szCs w:val="20"/>
        </w:rPr>
        <w:t>However, the Government has also indicated that the new powers are not intended to fundamentally change commercial norms or accepted standards of corporate behaviour</w:t>
      </w:r>
      <w:r>
        <w:rPr>
          <w:rFonts w:cs="Arial"/>
          <w:color w:val="484E52" w:themeColor="text1" w:themeTint="F2"/>
          <w:szCs w:val="20"/>
        </w:rPr>
        <w:t xml:space="preserve">. </w:t>
      </w:r>
      <w:r w:rsidRPr="00C96677">
        <w:rPr>
          <w:rFonts w:cs="Arial"/>
          <w:color w:val="484E52" w:themeColor="text1" w:themeTint="F2"/>
          <w:szCs w:val="20"/>
        </w:rPr>
        <w:t>Unfortunately, the legislation is considerably wider than the policy intent both in the scope of activity and the categories of persons who could be affected, and we are aware that this effectively presents a challenge for TPR to address in its draft policy.</w:t>
      </w:r>
    </w:p>
    <w:p w:rsidR="00C96677" w:rsidRPr="00C96677" w:rsidRDefault="00C96677" w:rsidP="00C96677">
      <w:pPr>
        <w:spacing w:after="0"/>
        <w:jc w:val="both"/>
        <w:rPr>
          <w:rFonts w:cs="Arial"/>
          <w:color w:val="484E52" w:themeColor="text1" w:themeTint="F2"/>
          <w:szCs w:val="20"/>
        </w:rPr>
      </w:pPr>
    </w:p>
    <w:p w:rsidR="00C96677" w:rsidRPr="00C96677" w:rsidRDefault="00C96677" w:rsidP="00C96677">
      <w:pPr>
        <w:numPr>
          <w:ilvl w:val="0"/>
          <w:numId w:val="5"/>
        </w:numPr>
        <w:spacing w:after="0"/>
        <w:jc w:val="both"/>
        <w:rPr>
          <w:rFonts w:cs="Arial"/>
          <w:color w:val="484E52" w:themeColor="text1" w:themeTint="F2"/>
          <w:szCs w:val="20"/>
        </w:rPr>
      </w:pPr>
      <w:r w:rsidRPr="00C96677">
        <w:rPr>
          <w:rFonts w:cs="Arial"/>
          <w:color w:val="484E52" w:themeColor="text1" w:themeTint="F2"/>
          <w:szCs w:val="20"/>
        </w:rPr>
        <w:t>We understood the objective of the draft policy to be to help those who fall under the new powers to understand where they might and might not be affected and to help bridge the gap between the policy intent and the legislation.</w:t>
      </w:r>
      <w:r>
        <w:rPr>
          <w:rFonts w:cs="Arial"/>
          <w:color w:val="484E52" w:themeColor="text1" w:themeTint="F2"/>
          <w:szCs w:val="20"/>
        </w:rPr>
        <w:t xml:space="preserve"> </w:t>
      </w:r>
      <w:r w:rsidRPr="00C96677">
        <w:rPr>
          <w:rFonts w:cs="Arial"/>
          <w:color w:val="484E52" w:themeColor="text1" w:themeTint="F2"/>
          <w:szCs w:val="20"/>
        </w:rPr>
        <w:t>Our view is that the draft policy does not sufficiently narrow down the application of a very broad piece of legislation, and therefore does not provide sufficient comfort to those who have no intention of wilful or reckless conduct and who pose no risk to scheme benefits.</w:t>
      </w:r>
      <w:r w:rsidRPr="00C96677">
        <w:rPr>
          <w:rFonts w:cs="Arial"/>
          <w:color w:val="484E52" w:themeColor="text1" w:themeTint="F2"/>
          <w:szCs w:val="20"/>
        </w:rPr>
        <w:br/>
      </w:r>
    </w:p>
    <w:p w:rsidR="00C96677" w:rsidRDefault="00C96677" w:rsidP="00C96677">
      <w:pPr>
        <w:numPr>
          <w:ilvl w:val="0"/>
          <w:numId w:val="5"/>
        </w:numPr>
        <w:spacing w:after="0"/>
        <w:rPr>
          <w:rFonts w:cs="Arial"/>
          <w:color w:val="484E52" w:themeColor="text1" w:themeTint="F2"/>
          <w:szCs w:val="20"/>
        </w:rPr>
      </w:pPr>
      <w:r w:rsidRPr="00C96677">
        <w:rPr>
          <w:rFonts w:cs="Arial"/>
          <w:color w:val="484E52" w:themeColor="text1" w:themeTint="F2"/>
          <w:szCs w:val="20"/>
        </w:rPr>
        <w:t>In some areas, the draft policy appears broader than the policy intent, and creates further uncertainty. For example, it indicates that TPR would not “usually” seek to use its powers in cases where we would expect there to be no concern at all about the conduct (such as where full mitigation is in place), and where behaviour appears to us to be far from wilful or reckless. The introduction of uncertaint</w:t>
      </w:r>
      <w:r>
        <w:rPr>
          <w:rFonts w:cs="Arial"/>
          <w:color w:val="484E52" w:themeColor="text1" w:themeTint="F2"/>
          <w:szCs w:val="20"/>
        </w:rPr>
        <w:t xml:space="preserve">y where certainty </w:t>
      </w:r>
      <w:r w:rsidRPr="00C96677">
        <w:rPr>
          <w:rFonts w:cs="Arial"/>
          <w:color w:val="484E52" w:themeColor="text1" w:themeTint="F2"/>
          <w:szCs w:val="20"/>
        </w:rPr>
        <w:t>should exist is unhelpful.</w:t>
      </w:r>
      <w:r w:rsidRPr="00C96677">
        <w:rPr>
          <w:rFonts w:cs="Arial"/>
          <w:color w:val="484E52" w:themeColor="text1" w:themeTint="F2"/>
          <w:szCs w:val="20"/>
        </w:rPr>
        <w:br/>
      </w:r>
    </w:p>
    <w:p w:rsidR="00C96677" w:rsidRPr="00C96677" w:rsidRDefault="00C96677" w:rsidP="00C96677">
      <w:pPr>
        <w:spacing w:after="0"/>
        <w:ind w:left="720"/>
        <w:rPr>
          <w:rFonts w:cs="Arial"/>
          <w:color w:val="484E52" w:themeColor="text1" w:themeTint="F2"/>
          <w:szCs w:val="20"/>
        </w:rPr>
      </w:pPr>
    </w:p>
    <w:p w:rsidR="00C96677" w:rsidRPr="00C96677" w:rsidRDefault="00C96677" w:rsidP="00C96677">
      <w:pPr>
        <w:numPr>
          <w:ilvl w:val="0"/>
          <w:numId w:val="5"/>
        </w:numPr>
        <w:spacing w:after="0"/>
        <w:rPr>
          <w:rFonts w:cs="Arial"/>
          <w:color w:val="484E52" w:themeColor="text1" w:themeTint="F2"/>
          <w:szCs w:val="20"/>
        </w:rPr>
      </w:pPr>
      <w:r w:rsidRPr="00C96677">
        <w:rPr>
          <w:rFonts w:cs="Arial"/>
          <w:color w:val="484E52" w:themeColor="text1" w:themeTint="F2"/>
          <w:szCs w:val="20"/>
        </w:rPr>
        <w:lastRenderedPageBreak/>
        <w:t xml:space="preserve">Our overriding concern is that the policy does not do enough to help the parties to whom it is addressed understand where TPR might seek to draw the line between acceptable conduct and conduct which could lead to a prosecution.  Particularly in difficult situations, this could result in employers, trustees, advisers and other parties being reluctant to take actions that are ultimately intended to protect the scheme, due to the risk of such actions being perceived to avoid debt or risk accrued benefits, with the consequent risk of a prosecution.  </w:t>
      </w:r>
      <w:r w:rsidRPr="00C96677">
        <w:rPr>
          <w:rFonts w:cs="Arial"/>
          <w:color w:val="484E52" w:themeColor="text1" w:themeTint="F2"/>
          <w:szCs w:val="20"/>
        </w:rPr>
        <w:br/>
      </w:r>
    </w:p>
    <w:p w:rsidR="00C96677" w:rsidRPr="00C96677" w:rsidRDefault="00C96677" w:rsidP="00C96677">
      <w:pPr>
        <w:numPr>
          <w:ilvl w:val="0"/>
          <w:numId w:val="5"/>
        </w:numPr>
        <w:spacing w:after="0"/>
        <w:rPr>
          <w:rFonts w:cs="Arial"/>
          <w:color w:val="484E52" w:themeColor="text1" w:themeTint="F2"/>
          <w:szCs w:val="20"/>
        </w:rPr>
      </w:pPr>
      <w:r w:rsidRPr="00C96677">
        <w:rPr>
          <w:rFonts w:cs="Arial"/>
          <w:color w:val="484E52" w:themeColor="text1" w:themeTint="F2"/>
          <w:szCs w:val="20"/>
        </w:rPr>
        <w:t xml:space="preserve">We would urge TPR to clarify the policy, with a view to being more definitive about when it would seek to use its powers, particularly in circumstances that might appear to be borderline.  The aim should be to eliminate uncertainty where it is not necessary, and to set clear boundaries around the areas that the Government did not seek (and TPR should not seek) to include in the new powers.  The policy should also help parties to understand the situations where TPR would be concerned and the actions it might expect them to take to stay on the right side of the new powers. </w:t>
      </w:r>
      <w:r w:rsidRPr="00C96677">
        <w:rPr>
          <w:rFonts w:cs="Arial"/>
          <w:color w:val="484E52" w:themeColor="text1" w:themeTint="F2"/>
          <w:szCs w:val="20"/>
        </w:rPr>
        <w:br/>
      </w:r>
    </w:p>
    <w:p w:rsidR="00C96677" w:rsidRPr="00C96677" w:rsidRDefault="00C96677" w:rsidP="00C96677">
      <w:pPr>
        <w:numPr>
          <w:ilvl w:val="0"/>
          <w:numId w:val="5"/>
        </w:numPr>
        <w:spacing w:after="0"/>
        <w:jc w:val="both"/>
        <w:rPr>
          <w:rFonts w:cs="Arial"/>
          <w:color w:val="484E52" w:themeColor="text1" w:themeTint="F2"/>
          <w:szCs w:val="20"/>
        </w:rPr>
      </w:pPr>
      <w:r w:rsidRPr="00C96677">
        <w:rPr>
          <w:rFonts w:cs="Arial"/>
          <w:color w:val="484E52" w:themeColor="text1" w:themeTint="F2"/>
          <w:szCs w:val="20"/>
        </w:rPr>
        <w:t xml:space="preserve">The policy will not be legally binding, so we do not think it necessary for TPR to be concerned about constricting its powers, or for it to avoid discussing borderline examples.  Unless the policy is made clearer, we believe there is the potential for a significant increase in clearance applications, with associated costs and delays to corporate activity, and the risk of paralysis around actions to protect schemes. </w:t>
      </w:r>
    </w:p>
    <w:p w:rsidR="00C96677" w:rsidRPr="00C96677" w:rsidRDefault="00C96677" w:rsidP="00C96677">
      <w:pPr>
        <w:spacing w:after="0"/>
        <w:jc w:val="both"/>
        <w:rPr>
          <w:rFonts w:cs="Arial"/>
          <w:color w:val="484E52" w:themeColor="text1" w:themeTint="F2"/>
          <w:szCs w:val="20"/>
        </w:rPr>
      </w:pPr>
    </w:p>
    <w:p w:rsidR="00C96677" w:rsidRPr="00C96677" w:rsidRDefault="00C96677" w:rsidP="00C96677">
      <w:pPr>
        <w:numPr>
          <w:ilvl w:val="0"/>
          <w:numId w:val="4"/>
        </w:numPr>
        <w:spacing w:after="0"/>
        <w:jc w:val="both"/>
        <w:rPr>
          <w:rFonts w:cs="Arial"/>
          <w:b/>
          <w:color w:val="484E52" w:themeColor="text1" w:themeTint="F2"/>
          <w:szCs w:val="20"/>
        </w:rPr>
      </w:pPr>
      <w:r w:rsidRPr="00C96677">
        <w:rPr>
          <w:rFonts w:cs="Arial"/>
          <w:b/>
          <w:color w:val="484E52" w:themeColor="text1" w:themeTint="F2"/>
          <w:szCs w:val="20"/>
        </w:rPr>
        <w:t>Is the policy clear on our overall approach to the new offences? If not, how could we make it clearer, without constricting the powers?</w:t>
      </w:r>
    </w:p>
    <w:p w:rsidR="00C96677" w:rsidRDefault="00C96677" w:rsidP="00C96677">
      <w:pPr>
        <w:spacing w:after="0"/>
        <w:jc w:val="both"/>
        <w:rPr>
          <w:rFonts w:cs="Arial"/>
          <w:color w:val="484E52" w:themeColor="text1" w:themeTint="F2"/>
          <w:szCs w:val="20"/>
        </w:rPr>
      </w:pPr>
    </w:p>
    <w:p w:rsidR="00C96677" w:rsidRPr="00C96677" w:rsidRDefault="00C96677" w:rsidP="00C96677">
      <w:pPr>
        <w:spacing w:after="0"/>
        <w:jc w:val="both"/>
        <w:rPr>
          <w:rFonts w:cs="Arial"/>
          <w:color w:val="484E52" w:themeColor="text1" w:themeTint="F2"/>
          <w:szCs w:val="20"/>
        </w:rPr>
      </w:pPr>
      <w:r w:rsidRPr="00C96677">
        <w:rPr>
          <w:rFonts w:cs="Arial"/>
          <w:color w:val="484E52" w:themeColor="text1" w:themeTint="F2"/>
          <w:szCs w:val="20"/>
        </w:rPr>
        <w:t>Yes/no:    No</w:t>
      </w:r>
      <w:r>
        <w:rPr>
          <w:rFonts w:cs="Arial"/>
          <w:color w:val="484E52" w:themeColor="text1" w:themeTint="F2"/>
          <w:szCs w:val="20"/>
        </w:rPr>
        <w:t xml:space="preserve"> (partially)</w:t>
      </w:r>
    </w:p>
    <w:p w:rsidR="00C96677" w:rsidRDefault="00C96677" w:rsidP="00C96677">
      <w:pPr>
        <w:spacing w:after="0"/>
        <w:jc w:val="both"/>
        <w:rPr>
          <w:rFonts w:cs="Arial"/>
          <w:color w:val="484E52" w:themeColor="text1" w:themeTint="F2"/>
          <w:szCs w:val="20"/>
        </w:rPr>
      </w:pPr>
    </w:p>
    <w:p w:rsidR="00C96677" w:rsidRDefault="00C96677" w:rsidP="00C96677">
      <w:pPr>
        <w:spacing w:after="0"/>
        <w:jc w:val="both"/>
        <w:rPr>
          <w:rFonts w:cs="Arial"/>
          <w:color w:val="484E52" w:themeColor="text1" w:themeTint="F2"/>
          <w:szCs w:val="20"/>
        </w:rPr>
      </w:pPr>
      <w:r w:rsidRPr="00C96677">
        <w:rPr>
          <w:rFonts w:cs="Arial"/>
          <w:color w:val="484E52" w:themeColor="text1" w:themeTint="F2"/>
          <w:szCs w:val="20"/>
        </w:rPr>
        <w:t>Comment:</w:t>
      </w:r>
    </w:p>
    <w:p w:rsidR="00C96677" w:rsidRPr="00C96677" w:rsidRDefault="00C96677" w:rsidP="00C96677">
      <w:pPr>
        <w:spacing w:after="0"/>
        <w:jc w:val="both"/>
        <w:rPr>
          <w:rFonts w:cs="Arial"/>
          <w:color w:val="484E52" w:themeColor="text1" w:themeTint="F2"/>
          <w:szCs w:val="20"/>
        </w:rPr>
      </w:pPr>
    </w:p>
    <w:p w:rsidR="00C96677" w:rsidRDefault="00C96677" w:rsidP="00C96677">
      <w:pPr>
        <w:numPr>
          <w:ilvl w:val="0"/>
          <w:numId w:val="5"/>
        </w:numPr>
        <w:spacing w:after="0"/>
        <w:jc w:val="both"/>
        <w:rPr>
          <w:rFonts w:cs="Arial"/>
          <w:color w:val="484E52" w:themeColor="text1" w:themeTint="F2"/>
          <w:szCs w:val="20"/>
        </w:rPr>
      </w:pPr>
      <w:r w:rsidRPr="00C96677">
        <w:rPr>
          <w:rFonts w:cs="Arial"/>
          <w:color w:val="484E52" w:themeColor="text1" w:themeTint="F2"/>
          <w:szCs w:val="20"/>
        </w:rPr>
        <w:t xml:space="preserve">TPR’s concerns that the policy may constrict its powers has led to a draft policy which gives insufficient help on the areas where there are concerns.  </w:t>
      </w:r>
    </w:p>
    <w:p w:rsidR="00C96677" w:rsidRPr="00C96677" w:rsidRDefault="00C96677" w:rsidP="00C96677">
      <w:pPr>
        <w:spacing w:after="0"/>
        <w:ind w:left="720"/>
        <w:jc w:val="both"/>
        <w:rPr>
          <w:rFonts w:cs="Arial"/>
          <w:color w:val="484E52" w:themeColor="text1" w:themeTint="F2"/>
          <w:szCs w:val="20"/>
        </w:rPr>
      </w:pPr>
    </w:p>
    <w:p w:rsidR="00C96677" w:rsidRDefault="00C96677" w:rsidP="00C96677">
      <w:pPr>
        <w:numPr>
          <w:ilvl w:val="0"/>
          <w:numId w:val="5"/>
        </w:numPr>
        <w:spacing w:after="0"/>
        <w:jc w:val="both"/>
        <w:rPr>
          <w:rFonts w:cs="Arial"/>
          <w:color w:val="484E52" w:themeColor="text1" w:themeTint="F2"/>
          <w:szCs w:val="20"/>
        </w:rPr>
      </w:pPr>
      <w:r w:rsidRPr="00C96677">
        <w:rPr>
          <w:rFonts w:cs="Arial"/>
          <w:color w:val="484E52" w:themeColor="text1" w:themeTint="F2"/>
          <w:szCs w:val="20"/>
        </w:rPr>
        <w:t>Whilst we have sympathy with the difficult task faced by TPR, and sympathy with its concerns about constricting its powers, we believe there are areas and examples where it could have been more definitive, and opportunities to provide comfort that some activities are simply not viewed as in scope (or, if necessary, would be viewed as a reasonable excuse).  Whilst not a complete list, the following are examples from an actuarial perspective:</w:t>
      </w:r>
    </w:p>
    <w:p w:rsidR="00C96677" w:rsidRPr="00C96677" w:rsidRDefault="00C96677" w:rsidP="00C96677">
      <w:pPr>
        <w:spacing w:after="0"/>
        <w:jc w:val="both"/>
        <w:rPr>
          <w:rFonts w:cs="Arial"/>
          <w:color w:val="484E52" w:themeColor="text1" w:themeTint="F2"/>
          <w:szCs w:val="20"/>
        </w:rPr>
      </w:pPr>
    </w:p>
    <w:p w:rsidR="00C96677" w:rsidRPr="00C96677" w:rsidRDefault="00C96677" w:rsidP="00C96677">
      <w:pPr>
        <w:numPr>
          <w:ilvl w:val="1"/>
          <w:numId w:val="5"/>
        </w:numPr>
        <w:spacing w:after="0"/>
        <w:jc w:val="both"/>
        <w:rPr>
          <w:rFonts w:cs="Arial"/>
          <w:color w:val="484E52" w:themeColor="text1" w:themeTint="F2"/>
          <w:szCs w:val="20"/>
        </w:rPr>
      </w:pPr>
      <w:r w:rsidRPr="00C96677">
        <w:rPr>
          <w:rFonts w:cs="Arial"/>
          <w:color w:val="484E52" w:themeColor="text1" w:themeTint="F2"/>
          <w:szCs w:val="20"/>
        </w:rPr>
        <w:t>Advising on and deciding on the management of section 75 debts in accordance with legislation.</w:t>
      </w:r>
    </w:p>
    <w:p w:rsidR="00C96677" w:rsidRPr="00C96677" w:rsidRDefault="00C96677" w:rsidP="00C96677">
      <w:pPr>
        <w:numPr>
          <w:ilvl w:val="1"/>
          <w:numId w:val="5"/>
        </w:numPr>
        <w:spacing w:after="0"/>
        <w:jc w:val="both"/>
        <w:rPr>
          <w:rFonts w:cs="Arial"/>
          <w:color w:val="484E52" w:themeColor="text1" w:themeTint="F2"/>
          <w:szCs w:val="20"/>
        </w:rPr>
      </w:pPr>
      <w:r w:rsidRPr="00C96677">
        <w:rPr>
          <w:rFonts w:cs="Arial"/>
          <w:color w:val="484E52" w:themeColor="text1" w:themeTint="F2"/>
          <w:szCs w:val="20"/>
        </w:rPr>
        <w:t>Advising on and making scheme funding decisions in accordance with legislative requirements.</w:t>
      </w:r>
    </w:p>
    <w:p w:rsidR="00C96677" w:rsidRPr="00C96677" w:rsidRDefault="00C96677" w:rsidP="00C96677">
      <w:pPr>
        <w:numPr>
          <w:ilvl w:val="1"/>
          <w:numId w:val="5"/>
        </w:numPr>
        <w:spacing w:after="0"/>
        <w:jc w:val="both"/>
        <w:rPr>
          <w:rFonts w:cs="Arial"/>
          <w:color w:val="484E52" w:themeColor="text1" w:themeTint="F2"/>
          <w:szCs w:val="20"/>
        </w:rPr>
      </w:pPr>
      <w:r w:rsidRPr="00C96677">
        <w:rPr>
          <w:rFonts w:cs="Arial"/>
          <w:color w:val="484E52" w:themeColor="text1" w:themeTint="F2"/>
          <w:szCs w:val="20"/>
        </w:rPr>
        <w:t>Advising and deciding on bulk transfers in accordance with legislative requirements.</w:t>
      </w:r>
    </w:p>
    <w:p w:rsidR="00C96677" w:rsidRPr="00C96677" w:rsidRDefault="00C96677" w:rsidP="00C96677">
      <w:pPr>
        <w:numPr>
          <w:ilvl w:val="1"/>
          <w:numId w:val="5"/>
        </w:numPr>
        <w:spacing w:after="0"/>
        <w:jc w:val="both"/>
        <w:rPr>
          <w:rFonts w:cs="Arial"/>
          <w:color w:val="484E52" w:themeColor="text1" w:themeTint="F2"/>
          <w:szCs w:val="20"/>
        </w:rPr>
      </w:pPr>
      <w:r w:rsidRPr="00C96677">
        <w:rPr>
          <w:rFonts w:cs="Arial"/>
          <w:color w:val="484E52" w:themeColor="text1" w:themeTint="F2"/>
          <w:szCs w:val="20"/>
        </w:rPr>
        <w:t>Advising and deciding on scheme strategy, for example buy-ins, buy-outs and winding up.</w:t>
      </w:r>
    </w:p>
    <w:p w:rsidR="00C96677" w:rsidRDefault="00C96677" w:rsidP="00C96677">
      <w:pPr>
        <w:numPr>
          <w:ilvl w:val="1"/>
          <w:numId w:val="5"/>
        </w:numPr>
        <w:spacing w:after="0"/>
        <w:jc w:val="both"/>
        <w:rPr>
          <w:rFonts w:cs="Arial"/>
          <w:color w:val="484E52" w:themeColor="text1" w:themeTint="F2"/>
          <w:szCs w:val="20"/>
        </w:rPr>
      </w:pPr>
      <w:r w:rsidRPr="00C96677">
        <w:rPr>
          <w:rFonts w:cs="Arial"/>
          <w:color w:val="484E52" w:themeColor="text1" w:themeTint="F2"/>
          <w:szCs w:val="20"/>
        </w:rPr>
        <w:t>Advising on actuarial factors, including where the actuary has the power to set factors under the scheme rules.</w:t>
      </w:r>
    </w:p>
    <w:p w:rsidR="00C96677" w:rsidRPr="00C96677" w:rsidRDefault="00C96677" w:rsidP="00C96677">
      <w:pPr>
        <w:spacing w:after="0"/>
        <w:ind w:left="1440"/>
        <w:jc w:val="both"/>
        <w:rPr>
          <w:rFonts w:cs="Arial"/>
          <w:color w:val="484E52" w:themeColor="text1" w:themeTint="F2"/>
          <w:szCs w:val="20"/>
        </w:rPr>
      </w:pPr>
    </w:p>
    <w:p w:rsidR="00C96677" w:rsidRPr="00C96677" w:rsidRDefault="00C96677" w:rsidP="00C96677">
      <w:pPr>
        <w:pStyle w:val="ListParagraph"/>
        <w:numPr>
          <w:ilvl w:val="0"/>
          <w:numId w:val="8"/>
        </w:numPr>
        <w:spacing w:after="0"/>
        <w:jc w:val="both"/>
        <w:rPr>
          <w:rFonts w:cs="Arial"/>
          <w:color w:val="484E52" w:themeColor="text1" w:themeTint="F2"/>
          <w:szCs w:val="20"/>
        </w:rPr>
      </w:pPr>
      <w:r>
        <w:rPr>
          <w:rFonts w:cs="Arial"/>
          <w:color w:val="484E52" w:themeColor="text1" w:themeTint="F2"/>
          <w:szCs w:val="20"/>
        </w:rPr>
        <w:t>Generally, where</w:t>
      </w:r>
      <w:r w:rsidRPr="00C96677">
        <w:rPr>
          <w:rFonts w:cs="Arial"/>
          <w:color w:val="484E52" w:themeColor="text1" w:themeTint="F2"/>
          <w:szCs w:val="20"/>
        </w:rPr>
        <w:t xml:space="preserve"> professional advisers advise in good faith on options open to trustees and employers, and trustees and employers make decisions in the light of that advice in good faith and in accordance with fiduciary duties and duties to the scheme under trust law, we see no reason why they should fall within the scope of the new powers.  If TPR believes actions in accordance with legal requirements are nevertheless potentially subject to a criminal prosecution, we believe it would be appropriate to (a) work with DWP to amend the legislation, and (b) elaborate in the policy concerning the areas of concern, so trustees, employers and advisers are fully aware of any particular issues.</w:t>
      </w:r>
    </w:p>
    <w:p w:rsidR="00C96677" w:rsidRPr="00C96677" w:rsidRDefault="00C96677" w:rsidP="00C96677">
      <w:pPr>
        <w:numPr>
          <w:ilvl w:val="0"/>
          <w:numId w:val="5"/>
        </w:numPr>
        <w:spacing w:after="0"/>
        <w:rPr>
          <w:rFonts w:cs="Arial"/>
          <w:color w:val="484E52" w:themeColor="text1" w:themeTint="F2"/>
          <w:szCs w:val="20"/>
        </w:rPr>
      </w:pPr>
      <w:r w:rsidRPr="00C96677">
        <w:rPr>
          <w:rFonts w:cs="Arial"/>
          <w:color w:val="484E52" w:themeColor="text1" w:themeTint="F2"/>
          <w:szCs w:val="20"/>
        </w:rPr>
        <w:lastRenderedPageBreak/>
        <w:t xml:space="preserve">It is notable that the latest TPR blog is more definitive about TPR’s rationale for using its powers. We would encourage TPR to reflect its comments in the policy itself.  </w:t>
      </w:r>
      <w:r w:rsidRPr="00C96677">
        <w:rPr>
          <w:rFonts w:cs="Arial"/>
          <w:color w:val="484E52" w:themeColor="text1" w:themeTint="F2"/>
          <w:szCs w:val="20"/>
        </w:rPr>
        <w:br/>
      </w:r>
    </w:p>
    <w:p w:rsidR="00C96677" w:rsidRPr="00C96677" w:rsidRDefault="00C96677" w:rsidP="00C96677">
      <w:pPr>
        <w:numPr>
          <w:ilvl w:val="0"/>
          <w:numId w:val="5"/>
        </w:numPr>
        <w:spacing w:after="0"/>
        <w:jc w:val="both"/>
        <w:rPr>
          <w:rFonts w:cs="Arial"/>
          <w:color w:val="484E52" w:themeColor="text1" w:themeTint="F2"/>
          <w:szCs w:val="20"/>
        </w:rPr>
      </w:pPr>
      <w:r w:rsidRPr="00C96677">
        <w:rPr>
          <w:rFonts w:cs="Arial"/>
          <w:color w:val="484E52" w:themeColor="text1" w:themeTint="F2"/>
          <w:szCs w:val="20"/>
        </w:rPr>
        <w:t xml:space="preserve">Given the policy is not legally enforceable and that other parties may also use the powers in the legislation, we believe TPR could be clearer with examples where it would not seek to use its powers.  </w:t>
      </w:r>
      <w:bookmarkStart w:id="0" w:name="_GoBack"/>
      <w:bookmarkEnd w:id="0"/>
      <w:r w:rsidRPr="00C96677">
        <w:rPr>
          <w:rFonts w:cs="Arial"/>
          <w:color w:val="484E52" w:themeColor="text1" w:themeTint="F2"/>
          <w:szCs w:val="20"/>
        </w:rPr>
        <w:t>It could also provide reassurance that lawful actions would not fall in scope (including those we mention in the previous paragraph).</w:t>
      </w:r>
    </w:p>
    <w:p w:rsidR="00C96677" w:rsidRDefault="00C96677" w:rsidP="00C96677">
      <w:pPr>
        <w:spacing w:after="0"/>
        <w:jc w:val="both"/>
        <w:rPr>
          <w:rFonts w:cs="Arial"/>
          <w:color w:val="484E52" w:themeColor="text1" w:themeTint="F2"/>
          <w:szCs w:val="20"/>
        </w:rPr>
      </w:pPr>
    </w:p>
    <w:p w:rsidR="00C96677" w:rsidRPr="00C96677" w:rsidRDefault="00C96677" w:rsidP="00C96677">
      <w:pPr>
        <w:spacing w:after="0"/>
        <w:jc w:val="both"/>
        <w:rPr>
          <w:rFonts w:cs="Arial"/>
          <w:color w:val="484E52" w:themeColor="text1" w:themeTint="F2"/>
          <w:szCs w:val="20"/>
        </w:rPr>
      </w:pPr>
    </w:p>
    <w:p w:rsidR="00C96677" w:rsidRPr="00C96677" w:rsidRDefault="00C96677" w:rsidP="00C96677">
      <w:pPr>
        <w:numPr>
          <w:ilvl w:val="0"/>
          <w:numId w:val="4"/>
        </w:numPr>
        <w:spacing w:after="0"/>
        <w:rPr>
          <w:rFonts w:cs="Arial"/>
          <w:color w:val="484E52" w:themeColor="text1" w:themeTint="F2"/>
          <w:szCs w:val="20"/>
        </w:rPr>
      </w:pPr>
      <w:r w:rsidRPr="00C96677">
        <w:rPr>
          <w:rFonts w:cs="Arial"/>
          <w:b/>
          <w:color w:val="484E52" w:themeColor="text1" w:themeTint="F2"/>
          <w:szCs w:val="20"/>
        </w:rPr>
        <w:t>Is the policy clear on how cases will be selected for investigation? If not, how could we make it clearer?</w:t>
      </w:r>
      <w:r w:rsidRPr="00C96677">
        <w:rPr>
          <w:rFonts w:cs="Arial"/>
          <w:b/>
          <w:color w:val="484E52" w:themeColor="text1" w:themeTint="F2"/>
          <w:szCs w:val="20"/>
        </w:rPr>
        <w:br/>
      </w:r>
      <w:r w:rsidRPr="00C96677">
        <w:rPr>
          <w:rFonts w:cs="Arial"/>
          <w:color w:val="484E52" w:themeColor="text1" w:themeTint="F2"/>
          <w:szCs w:val="20"/>
        </w:rPr>
        <w:br/>
        <w:t>Yes/no:   No</w:t>
      </w:r>
    </w:p>
    <w:p w:rsidR="00C96677" w:rsidRDefault="00C96677" w:rsidP="00C96677">
      <w:pPr>
        <w:spacing w:after="0"/>
        <w:jc w:val="both"/>
        <w:rPr>
          <w:rFonts w:cs="Arial"/>
          <w:color w:val="484E52" w:themeColor="text1" w:themeTint="F2"/>
          <w:szCs w:val="20"/>
        </w:rPr>
      </w:pPr>
    </w:p>
    <w:p w:rsidR="00C96677" w:rsidRDefault="00C96677" w:rsidP="00C96677">
      <w:pPr>
        <w:spacing w:after="0"/>
        <w:jc w:val="both"/>
        <w:rPr>
          <w:rFonts w:cs="Arial"/>
          <w:color w:val="484E52" w:themeColor="text1" w:themeTint="F2"/>
          <w:szCs w:val="20"/>
        </w:rPr>
      </w:pPr>
      <w:r w:rsidRPr="00C96677">
        <w:rPr>
          <w:rFonts w:cs="Arial"/>
          <w:color w:val="484E52" w:themeColor="text1" w:themeTint="F2"/>
          <w:szCs w:val="20"/>
        </w:rPr>
        <w:t>Comment:</w:t>
      </w:r>
    </w:p>
    <w:p w:rsidR="00C96677" w:rsidRPr="00C96677" w:rsidRDefault="00C96677" w:rsidP="00C96677">
      <w:pPr>
        <w:spacing w:after="0"/>
        <w:jc w:val="both"/>
        <w:rPr>
          <w:rFonts w:cs="Arial"/>
          <w:color w:val="484E52" w:themeColor="text1" w:themeTint="F2"/>
          <w:szCs w:val="20"/>
        </w:rPr>
      </w:pPr>
    </w:p>
    <w:p w:rsidR="00C96677" w:rsidRPr="00C96677" w:rsidRDefault="00C96677" w:rsidP="00C96677">
      <w:pPr>
        <w:numPr>
          <w:ilvl w:val="0"/>
          <w:numId w:val="6"/>
        </w:numPr>
        <w:spacing w:after="0"/>
        <w:jc w:val="both"/>
        <w:rPr>
          <w:rFonts w:cs="Arial"/>
          <w:color w:val="484E52" w:themeColor="text1" w:themeTint="F2"/>
          <w:szCs w:val="20"/>
        </w:rPr>
      </w:pPr>
      <w:r w:rsidRPr="00C96677">
        <w:rPr>
          <w:rFonts w:cs="Arial"/>
          <w:color w:val="484E52" w:themeColor="text1" w:themeTint="F2"/>
          <w:szCs w:val="20"/>
        </w:rPr>
        <w:t>We do not believe it would be appropriate for TPR to select cases purely in order to set an example, unless those cases are clearly in scope and have a very good chance of resulting in a criminal prosecution.</w:t>
      </w:r>
      <w:r w:rsidRPr="00C96677">
        <w:rPr>
          <w:rFonts w:cs="Arial"/>
          <w:color w:val="484E52" w:themeColor="text1" w:themeTint="F2"/>
          <w:szCs w:val="20"/>
        </w:rPr>
        <w:br/>
      </w:r>
    </w:p>
    <w:p w:rsidR="00C96677" w:rsidRPr="00C96677" w:rsidRDefault="00C96677" w:rsidP="00C96677">
      <w:pPr>
        <w:numPr>
          <w:ilvl w:val="0"/>
          <w:numId w:val="6"/>
        </w:numPr>
        <w:spacing w:after="0"/>
        <w:jc w:val="both"/>
        <w:rPr>
          <w:rFonts w:cs="Arial"/>
          <w:color w:val="484E52" w:themeColor="text1" w:themeTint="F2"/>
          <w:szCs w:val="20"/>
        </w:rPr>
      </w:pPr>
      <w:r w:rsidRPr="00C96677">
        <w:rPr>
          <w:rFonts w:cs="Arial"/>
          <w:color w:val="484E52" w:themeColor="text1" w:themeTint="F2"/>
          <w:szCs w:val="20"/>
        </w:rPr>
        <w:t xml:space="preserve">We would encourage TPR to include both smaller and larger schemes in any actions, to avoid the perception of many smaller schemes that TPR is unlikely ever to intervene in their affairs.  Whilst risk to the PPF is clearly a factor in favour of selecting larger schemes, TPR also has a duty to individual members, whose personal risk is the same regardless of the size of their scheme.  </w:t>
      </w:r>
      <w:r w:rsidRPr="00C96677">
        <w:rPr>
          <w:rFonts w:cs="Arial"/>
          <w:color w:val="484E52" w:themeColor="text1" w:themeTint="F2"/>
          <w:szCs w:val="20"/>
        </w:rPr>
        <w:br/>
      </w:r>
    </w:p>
    <w:p w:rsidR="00C96677" w:rsidRPr="00C96677" w:rsidRDefault="00C96677" w:rsidP="00C96677">
      <w:pPr>
        <w:numPr>
          <w:ilvl w:val="0"/>
          <w:numId w:val="6"/>
        </w:numPr>
        <w:spacing w:after="0"/>
        <w:rPr>
          <w:rFonts w:cs="Arial"/>
          <w:color w:val="484E52" w:themeColor="text1" w:themeTint="F2"/>
          <w:szCs w:val="20"/>
        </w:rPr>
      </w:pPr>
      <w:r w:rsidRPr="00C96677">
        <w:rPr>
          <w:rFonts w:cs="Arial"/>
          <w:color w:val="484E52" w:themeColor="text1" w:themeTint="F2"/>
          <w:szCs w:val="20"/>
        </w:rPr>
        <w:t xml:space="preserve">It would be helpful if TPR were  able to confirm definitively that a statutory defence in relation to material detriment would also rule out the use of criminal powers under s58B (rather than that it “would usually” do this).  If the caveat cannot be removed, an example of a case where the exception might apply would be helpful.   </w:t>
      </w:r>
      <w:r w:rsidRPr="00C96677">
        <w:rPr>
          <w:rFonts w:cs="Arial"/>
          <w:color w:val="484E52" w:themeColor="text1" w:themeTint="F2"/>
          <w:szCs w:val="20"/>
        </w:rPr>
        <w:br/>
      </w:r>
    </w:p>
    <w:p w:rsidR="00C96677" w:rsidRPr="00C96677" w:rsidRDefault="00C96677" w:rsidP="00C96677">
      <w:pPr>
        <w:numPr>
          <w:ilvl w:val="0"/>
          <w:numId w:val="6"/>
        </w:numPr>
        <w:spacing w:after="0"/>
        <w:rPr>
          <w:rFonts w:cs="Arial"/>
          <w:color w:val="484E52" w:themeColor="text1" w:themeTint="F2"/>
          <w:szCs w:val="20"/>
        </w:rPr>
      </w:pPr>
      <w:r w:rsidRPr="00C96677">
        <w:rPr>
          <w:rFonts w:cs="Arial"/>
          <w:color w:val="484E52" w:themeColor="text1" w:themeTint="F2"/>
          <w:szCs w:val="20"/>
        </w:rPr>
        <w:t>It is unhelpful for TPR’s policy to sit in isolation when other parties may also exercise the new powers.  We would welcome some assurances (in the policy) that TPR is working with those other parties to reach a common understanding</w:t>
      </w:r>
      <w:r>
        <w:rPr>
          <w:rFonts w:cs="Arial"/>
          <w:color w:val="484E52" w:themeColor="text1" w:themeTint="F2"/>
          <w:szCs w:val="20"/>
        </w:rPr>
        <w:t>.</w:t>
      </w:r>
      <w:r w:rsidRPr="00C96677">
        <w:rPr>
          <w:rFonts w:cs="Arial"/>
          <w:color w:val="484E52" w:themeColor="text1" w:themeTint="F2"/>
          <w:szCs w:val="20"/>
        </w:rPr>
        <w:br/>
      </w:r>
    </w:p>
    <w:p w:rsidR="00C96677" w:rsidRPr="00C96677" w:rsidRDefault="00C96677" w:rsidP="00C96677">
      <w:pPr>
        <w:numPr>
          <w:ilvl w:val="0"/>
          <w:numId w:val="6"/>
        </w:numPr>
        <w:spacing w:after="0"/>
        <w:rPr>
          <w:rFonts w:cs="Arial"/>
          <w:color w:val="484E52" w:themeColor="text1" w:themeTint="F2"/>
          <w:szCs w:val="20"/>
        </w:rPr>
      </w:pPr>
      <w:r w:rsidRPr="00C96677">
        <w:rPr>
          <w:rFonts w:cs="Arial"/>
          <w:color w:val="484E52" w:themeColor="text1" w:themeTint="F2"/>
          <w:szCs w:val="20"/>
        </w:rPr>
        <w:t>We suggest that TPR should consider the severity of an act in deciding whether to use the new criminal powers or its moral hazard powers. There is a sense, which we assume is not intended, that the criminal and moral hazard powers are interchangeable, and that the criminal powers might be used to deter others, rather than because they match the scale of the offence.</w:t>
      </w:r>
      <w:r w:rsidRPr="00C96677">
        <w:rPr>
          <w:rFonts w:cs="Arial"/>
          <w:color w:val="484E52" w:themeColor="text1" w:themeTint="F2"/>
          <w:szCs w:val="20"/>
        </w:rPr>
        <w:br/>
      </w:r>
    </w:p>
    <w:p w:rsidR="00C96677" w:rsidRDefault="00C96677" w:rsidP="00C96677">
      <w:pPr>
        <w:numPr>
          <w:ilvl w:val="0"/>
          <w:numId w:val="6"/>
        </w:numPr>
        <w:spacing w:after="0"/>
        <w:rPr>
          <w:rFonts w:cs="Arial"/>
          <w:color w:val="484E52" w:themeColor="text1" w:themeTint="F2"/>
          <w:szCs w:val="20"/>
        </w:rPr>
      </w:pPr>
      <w:r w:rsidRPr="00C96677">
        <w:rPr>
          <w:rFonts w:cs="Arial"/>
          <w:color w:val="484E52" w:themeColor="text1" w:themeTint="F2"/>
          <w:szCs w:val="20"/>
        </w:rPr>
        <w:t>Given the considerable costs and time required to satisfy an investigation by TPR, and the risks of reputational damage to all those involved, we believe it is essential that TPR proceeds with caution and with absolute justification, and that cases are not selected speculatively or with undue weight on the ability to deter others.</w:t>
      </w:r>
      <w:r w:rsidRPr="00C96677">
        <w:rPr>
          <w:rFonts w:cs="Arial"/>
          <w:color w:val="484E52" w:themeColor="text1" w:themeTint="F2"/>
          <w:szCs w:val="20"/>
        </w:rPr>
        <w:br/>
      </w:r>
      <w:r w:rsidRPr="00C96677">
        <w:rPr>
          <w:rFonts w:cs="Arial"/>
          <w:color w:val="484E52" w:themeColor="text1" w:themeTint="F2"/>
          <w:szCs w:val="20"/>
        </w:rPr>
        <w:br/>
      </w:r>
    </w:p>
    <w:p w:rsidR="00C96677" w:rsidRDefault="00C96677" w:rsidP="00C96677">
      <w:pPr>
        <w:spacing w:after="0"/>
        <w:rPr>
          <w:rFonts w:cs="Arial"/>
          <w:color w:val="484E52" w:themeColor="text1" w:themeTint="F2"/>
          <w:szCs w:val="20"/>
        </w:rPr>
      </w:pPr>
    </w:p>
    <w:p w:rsidR="00C96677" w:rsidRDefault="00C96677" w:rsidP="00C96677">
      <w:pPr>
        <w:spacing w:after="0"/>
        <w:rPr>
          <w:rFonts w:cs="Arial"/>
          <w:color w:val="484E52" w:themeColor="text1" w:themeTint="F2"/>
          <w:szCs w:val="20"/>
        </w:rPr>
      </w:pPr>
    </w:p>
    <w:p w:rsidR="00C96677" w:rsidRDefault="00C96677" w:rsidP="00C96677">
      <w:pPr>
        <w:spacing w:after="0"/>
        <w:rPr>
          <w:rFonts w:cs="Arial"/>
          <w:color w:val="484E52" w:themeColor="text1" w:themeTint="F2"/>
          <w:szCs w:val="20"/>
        </w:rPr>
      </w:pPr>
    </w:p>
    <w:p w:rsidR="00C96677" w:rsidRDefault="00C96677" w:rsidP="00C96677">
      <w:pPr>
        <w:spacing w:after="0"/>
        <w:rPr>
          <w:rFonts w:cs="Arial"/>
          <w:color w:val="484E52" w:themeColor="text1" w:themeTint="F2"/>
          <w:szCs w:val="20"/>
        </w:rPr>
      </w:pPr>
    </w:p>
    <w:p w:rsidR="00C96677" w:rsidRPr="00C96677" w:rsidRDefault="00C96677" w:rsidP="00C96677">
      <w:pPr>
        <w:spacing w:after="0"/>
        <w:rPr>
          <w:rFonts w:cs="Arial"/>
          <w:color w:val="484E52" w:themeColor="text1" w:themeTint="F2"/>
          <w:szCs w:val="20"/>
        </w:rPr>
      </w:pPr>
    </w:p>
    <w:p w:rsidR="00C96677" w:rsidRPr="00C96677" w:rsidRDefault="00C96677" w:rsidP="00C96677">
      <w:pPr>
        <w:numPr>
          <w:ilvl w:val="0"/>
          <w:numId w:val="4"/>
        </w:numPr>
        <w:spacing w:after="0"/>
        <w:jc w:val="both"/>
        <w:rPr>
          <w:rFonts w:cs="Arial"/>
          <w:b/>
          <w:color w:val="484E52" w:themeColor="text1" w:themeTint="F2"/>
          <w:szCs w:val="20"/>
        </w:rPr>
      </w:pPr>
      <w:r w:rsidRPr="00C96677">
        <w:rPr>
          <w:rFonts w:cs="Arial"/>
          <w:b/>
          <w:color w:val="484E52" w:themeColor="text1" w:themeTint="F2"/>
          <w:szCs w:val="20"/>
        </w:rPr>
        <w:lastRenderedPageBreak/>
        <w:t>Are the examples useful in illustrating the factors that we will take into account when considering whether a potential defendant has a reasonable excuse to act or fail to act? Are there any other examples you would consider helpful?</w:t>
      </w:r>
    </w:p>
    <w:p w:rsidR="00C96677" w:rsidRDefault="00C96677" w:rsidP="00C96677">
      <w:pPr>
        <w:spacing w:after="0"/>
        <w:jc w:val="both"/>
        <w:rPr>
          <w:rFonts w:cs="Arial"/>
          <w:color w:val="484E52" w:themeColor="text1" w:themeTint="F2"/>
          <w:szCs w:val="20"/>
        </w:rPr>
      </w:pPr>
    </w:p>
    <w:p w:rsidR="00C96677" w:rsidRPr="00C96677" w:rsidRDefault="00C96677" w:rsidP="00C96677">
      <w:pPr>
        <w:spacing w:after="0"/>
        <w:jc w:val="both"/>
        <w:rPr>
          <w:rFonts w:cs="Arial"/>
          <w:color w:val="484E52" w:themeColor="text1" w:themeTint="F2"/>
          <w:szCs w:val="20"/>
        </w:rPr>
      </w:pPr>
      <w:r w:rsidRPr="00C96677">
        <w:rPr>
          <w:rFonts w:cs="Arial"/>
          <w:color w:val="484E52" w:themeColor="text1" w:themeTint="F2"/>
          <w:szCs w:val="20"/>
        </w:rPr>
        <w:t xml:space="preserve">Yes/no:    Yes </w:t>
      </w:r>
    </w:p>
    <w:p w:rsidR="00C96677" w:rsidRDefault="00C96677" w:rsidP="00C96677">
      <w:pPr>
        <w:spacing w:after="0"/>
        <w:jc w:val="both"/>
        <w:rPr>
          <w:rFonts w:cs="Arial"/>
          <w:color w:val="484E52" w:themeColor="text1" w:themeTint="F2"/>
          <w:szCs w:val="20"/>
        </w:rPr>
      </w:pPr>
    </w:p>
    <w:p w:rsidR="00C96677" w:rsidRDefault="00C96677" w:rsidP="00C96677">
      <w:pPr>
        <w:spacing w:after="0"/>
        <w:jc w:val="both"/>
        <w:rPr>
          <w:rFonts w:cs="Arial"/>
          <w:color w:val="484E52" w:themeColor="text1" w:themeTint="F2"/>
          <w:szCs w:val="20"/>
        </w:rPr>
      </w:pPr>
      <w:r w:rsidRPr="00C96677">
        <w:rPr>
          <w:rFonts w:cs="Arial"/>
          <w:color w:val="484E52" w:themeColor="text1" w:themeTint="F2"/>
          <w:szCs w:val="20"/>
        </w:rPr>
        <w:t>Comment:</w:t>
      </w:r>
    </w:p>
    <w:p w:rsidR="00C96677" w:rsidRPr="00C96677" w:rsidRDefault="00C96677" w:rsidP="00C96677">
      <w:pPr>
        <w:spacing w:after="0"/>
        <w:jc w:val="both"/>
        <w:rPr>
          <w:rFonts w:cs="Arial"/>
          <w:color w:val="484E52" w:themeColor="text1" w:themeTint="F2"/>
          <w:szCs w:val="20"/>
        </w:rPr>
      </w:pPr>
    </w:p>
    <w:p w:rsidR="00C96677" w:rsidRPr="00C96677" w:rsidRDefault="00C96677" w:rsidP="00C96677">
      <w:pPr>
        <w:numPr>
          <w:ilvl w:val="0"/>
          <w:numId w:val="6"/>
        </w:numPr>
        <w:spacing w:after="0"/>
        <w:rPr>
          <w:rFonts w:cs="Arial"/>
          <w:color w:val="484E52" w:themeColor="text1" w:themeTint="F2"/>
          <w:szCs w:val="20"/>
        </w:rPr>
      </w:pPr>
      <w:r w:rsidRPr="00C96677">
        <w:rPr>
          <w:rFonts w:cs="Arial"/>
          <w:color w:val="484E52" w:themeColor="text1" w:themeTint="F2"/>
          <w:szCs w:val="20"/>
        </w:rPr>
        <w:t xml:space="preserve">We encourage TPR to provide more extensive examples that could help all parties to understand when well-meaning actions to protect schemes and employers might cross the line and be seen by TPR as actions to avoid debt or risking accrued benefits.  </w:t>
      </w:r>
      <w:r w:rsidRPr="00C96677">
        <w:rPr>
          <w:rFonts w:cs="Arial"/>
          <w:color w:val="484E52" w:themeColor="text1" w:themeTint="F2"/>
          <w:szCs w:val="20"/>
        </w:rPr>
        <w:br/>
      </w:r>
    </w:p>
    <w:p w:rsidR="00C96677" w:rsidRPr="00C96677" w:rsidRDefault="00C96677" w:rsidP="00C96677">
      <w:pPr>
        <w:numPr>
          <w:ilvl w:val="0"/>
          <w:numId w:val="6"/>
        </w:numPr>
        <w:spacing w:after="0"/>
        <w:rPr>
          <w:rFonts w:cs="Arial"/>
          <w:color w:val="484E52" w:themeColor="text1" w:themeTint="F2"/>
          <w:szCs w:val="20"/>
        </w:rPr>
      </w:pPr>
      <w:r w:rsidRPr="00C96677">
        <w:rPr>
          <w:rFonts w:cs="Arial"/>
          <w:color w:val="484E52" w:themeColor="text1" w:themeTint="F2"/>
          <w:szCs w:val="20"/>
        </w:rPr>
        <w:t xml:space="preserve">The examples given largely cover areas where there is little uncertainly about whether they would be in scope.  It is, in our view, important that examples also include situations (case studies, in effect) where TPR (and all the parties involved in a decision) might need to use professional judgement and some indications on how TPR might exercise its judgement would be particularly helpful.  The aim should be to help all those involved with an action (or inaction) to have a good understanding of the boundaries between, in effect, right and wrong.  It would be helpful if the examples could ensure that those who have good intentions (with regard to the scheme) and are well advised, with a sufficient level of knowledge and understanding, will not inadvertently find themselves on the wrong side of the law. Neither, for that matter, should they find themselves being publicly investigated for potentially being on the wrong side of an unclear law. </w:t>
      </w:r>
      <w:r w:rsidRPr="00C96677">
        <w:rPr>
          <w:rFonts w:cs="Arial"/>
          <w:color w:val="484E52" w:themeColor="text1" w:themeTint="F2"/>
          <w:szCs w:val="20"/>
        </w:rPr>
        <w:br/>
      </w:r>
    </w:p>
    <w:p w:rsidR="00C96677" w:rsidRPr="00C96677" w:rsidRDefault="00C96677" w:rsidP="00153B71">
      <w:pPr>
        <w:numPr>
          <w:ilvl w:val="0"/>
          <w:numId w:val="6"/>
        </w:numPr>
        <w:spacing w:after="0"/>
        <w:rPr>
          <w:rFonts w:cs="Arial"/>
          <w:color w:val="484E52" w:themeColor="text1" w:themeTint="F2"/>
          <w:szCs w:val="20"/>
        </w:rPr>
      </w:pPr>
      <w:r w:rsidRPr="00C96677">
        <w:rPr>
          <w:rFonts w:cs="Arial"/>
          <w:color w:val="484E52" w:themeColor="text1" w:themeTint="F2"/>
          <w:szCs w:val="20"/>
        </w:rPr>
        <w:t>It would be helpful to clarify that reasonable excuse exists where a scheme is very well-funded (on an appropriate basis) before and after the activity (or inactivity) in question. We do not believe TPR’s efforts would be well focussed on cases where the actions are clearly not risking scheme benefits and where there is no risk to the PPF and/or minimal section 75 debt.</w:t>
      </w:r>
      <w:r w:rsidRPr="00C96677">
        <w:rPr>
          <w:rFonts w:cs="Arial"/>
          <w:color w:val="484E52" w:themeColor="text1" w:themeTint="F2"/>
          <w:szCs w:val="20"/>
        </w:rPr>
        <w:br/>
      </w:r>
    </w:p>
    <w:p w:rsidR="00C96677" w:rsidRPr="00C96677" w:rsidRDefault="00C96677" w:rsidP="00C96677">
      <w:pPr>
        <w:numPr>
          <w:ilvl w:val="0"/>
          <w:numId w:val="6"/>
        </w:numPr>
        <w:spacing w:after="0"/>
        <w:jc w:val="both"/>
        <w:rPr>
          <w:rFonts w:cs="Arial"/>
          <w:color w:val="484E52" w:themeColor="text1" w:themeTint="F2"/>
          <w:szCs w:val="20"/>
        </w:rPr>
      </w:pPr>
      <w:r w:rsidRPr="00C96677">
        <w:rPr>
          <w:rFonts w:cs="Arial"/>
          <w:color w:val="484E52" w:themeColor="text1" w:themeTint="F2"/>
          <w:szCs w:val="20"/>
        </w:rPr>
        <w:t>We suggest including some examples relating to inaction, which in some cases may be more likely than positive actions to be judged with hindsight.  How does TPR envisage using its new powers with regard to a failure to take an appropriate action, and can it give an example close to the wire and illustrate the factors that might result in it concluding one way or another whether there was reasonable excuse?</w:t>
      </w:r>
    </w:p>
    <w:p w:rsidR="00C96677" w:rsidRDefault="00C96677" w:rsidP="00C96677">
      <w:pPr>
        <w:spacing w:after="0"/>
        <w:jc w:val="both"/>
        <w:rPr>
          <w:rFonts w:cs="Arial"/>
          <w:color w:val="484E52" w:themeColor="text1" w:themeTint="F2"/>
          <w:szCs w:val="20"/>
        </w:rPr>
      </w:pPr>
    </w:p>
    <w:p w:rsidR="00153B71" w:rsidRPr="00C96677" w:rsidRDefault="00153B71" w:rsidP="00C96677">
      <w:pPr>
        <w:spacing w:after="0"/>
        <w:jc w:val="both"/>
        <w:rPr>
          <w:rFonts w:cs="Arial"/>
          <w:color w:val="484E52" w:themeColor="text1" w:themeTint="F2"/>
          <w:szCs w:val="20"/>
        </w:rPr>
      </w:pPr>
    </w:p>
    <w:p w:rsidR="00C96677" w:rsidRPr="00C96677" w:rsidRDefault="00C96677" w:rsidP="00C96677">
      <w:pPr>
        <w:numPr>
          <w:ilvl w:val="0"/>
          <w:numId w:val="4"/>
        </w:numPr>
        <w:spacing w:after="0"/>
        <w:jc w:val="both"/>
        <w:rPr>
          <w:rFonts w:cs="Arial"/>
          <w:b/>
          <w:color w:val="484E52" w:themeColor="text1" w:themeTint="F2"/>
          <w:szCs w:val="20"/>
        </w:rPr>
      </w:pPr>
      <w:r w:rsidRPr="00C96677">
        <w:rPr>
          <w:rFonts w:cs="Arial"/>
          <w:b/>
          <w:color w:val="484E52" w:themeColor="text1" w:themeTint="F2"/>
          <w:szCs w:val="20"/>
        </w:rPr>
        <w:t>Do you have any other feedback?</w:t>
      </w:r>
    </w:p>
    <w:p w:rsidR="00153B71" w:rsidRDefault="00153B71" w:rsidP="00C96677">
      <w:pPr>
        <w:spacing w:after="0"/>
        <w:jc w:val="both"/>
        <w:rPr>
          <w:rFonts w:cs="Arial"/>
          <w:color w:val="484E52" w:themeColor="text1" w:themeTint="F2"/>
          <w:szCs w:val="20"/>
        </w:rPr>
      </w:pPr>
    </w:p>
    <w:p w:rsidR="00C96677" w:rsidRDefault="00C96677" w:rsidP="00C96677">
      <w:pPr>
        <w:spacing w:after="0"/>
        <w:jc w:val="both"/>
        <w:rPr>
          <w:rFonts w:cs="Arial"/>
          <w:color w:val="484E52" w:themeColor="text1" w:themeTint="F2"/>
          <w:szCs w:val="20"/>
        </w:rPr>
      </w:pPr>
      <w:r w:rsidRPr="00C96677">
        <w:rPr>
          <w:rFonts w:cs="Arial"/>
          <w:color w:val="484E52" w:themeColor="text1" w:themeTint="F2"/>
          <w:szCs w:val="20"/>
        </w:rPr>
        <w:t>Comment:</w:t>
      </w:r>
    </w:p>
    <w:p w:rsidR="00153B71" w:rsidRPr="00C96677" w:rsidRDefault="00153B71" w:rsidP="00C96677">
      <w:pPr>
        <w:spacing w:after="0"/>
        <w:jc w:val="both"/>
        <w:rPr>
          <w:rFonts w:cs="Arial"/>
          <w:color w:val="484E52" w:themeColor="text1" w:themeTint="F2"/>
          <w:szCs w:val="20"/>
        </w:rPr>
      </w:pPr>
    </w:p>
    <w:p w:rsidR="00C96677" w:rsidRPr="00C96677" w:rsidRDefault="00C96677" w:rsidP="00153B71">
      <w:pPr>
        <w:numPr>
          <w:ilvl w:val="0"/>
          <w:numId w:val="7"/>
        </w:numPr>
        <w:spacing w:after="0"/>
        <w:rPr>
          <w:rFonts w:cs="Arial"/>
          <w:color w:val="484E52" w:themeColor="text1" w:themeTint="F2"/>
          <w:szCs w:val="20"/>
        </w:rPr>
      </w:pPr>
      <w:r w:rsidRPr="00C96677">
        <w:rPr>
          <w:rFonts w:cs="Arial"/>
          <w:color w:val="484E52" w:themeColor="text1" w:themeTint="F2"/>
          <w:szCs w:val="20"/>
        </w:rPr>
        <w:t>Given professional advisers are clearly in scope of the new powers, we would encourage TPR to work with industry bodies to ensure they fully understand TPR’s concerns and to ensure that professional guidance is consistent with TPR’s expectations. This would avoid the situation where TPR could seek to prosecute actions which were deemed to be in line with professional and ethical guidance from a person’s professional body.</w:t>
      </w:r>
      <w:r w:rsidRPr="00C96677">
        <w:rPr>
          <w:rFonts w:cs="Arial"/>
          <w:color w:val="484E52" w:themeColor="text1" w:themeTint="F2"/>
          <w:szCs w:val="20"/>
        </w:rPr>
        <w:br/>
      </w:r>
    </w:p>
    <w:p w:rsidR="00190F29" w:rsidRPr="00153B71" w:rsidRDefault="00C96677" w:rsidP="00190F29">
      <w:pPr>
        <w:numPr>
          <w:ilvl w:val="0"/>
          <w:numId w:val="7"/>
        </w:numPr>
        <w:spacing w:after="0"/>
        <w:rPr>
          <w:rFonts w:cs="Arial"/>
          <w:color w:val="484E52" w:themeColor="text1" w:themeTint="F2"/>
          <w:szCs w:val="20"/>
        </w:rPr>
      </w:pPr>
      <w:r w:rsidRPr="00C96677">
        <w:rPr>
          <w:rFonts w:cs="Arial"/>
          <w:color w:val="484E52" w:themeColor="text1" w:themeTint="F2"/>
          <w:szCs w:val="20"/>
        </w:rPr>
        <w:t xml:space="preserve">We note the suggestion in the draft policy that a professional person acting in accordance with their professional duties, conduct, obligations and ethical standards applicable to the type of advice being given would only have a reasonable excuse “in most circumstances”.  This is an area where an example would be helpful to illustrate where TPR believes such a person and actions could be in scope of the new powers. </w:t>
      </w:r>
      <w:r w:rsidRPr="00C96677">
        <w:rPr>
          <w:rFonts w:cs="Arial"/>
          <w:color w:val="484E52" w:themeColor="text1" w:themeTint="F2"/>
          <w:szCs w:val="20"/>
        </w:rPr>
        <w:br/>
      </w:r>
    </w:p>
    <w:p w:rsidR="00153B71" w:rsidRDefault="00153B71" w:rsidP="00190F29">
      <w:pPr>
        <w:spacing w:after="0"/>
        <w:rPr>
          <w:rFonts w:cs="Arial"/>
          <w:b/>
          <w:bCs/>
          <w:color w:val="484E52" w:themeColor="text1" w:themeTint="F2"/>
          <w:szCs w:val="20"/>
        </w:rPr>
      </w:pPr>
    </w:p>
    <w:p w:rsidR="00190F29" w:rsidRPr="000D513E" w:rsidRDefault="00190F29" w:rsidP="00190F29">
      <w:pPr>
        <w:spacing w:after="0"/>
        <w:rPr>
          <w:rFonts w:cs="Arial"/>
          <w:color w:val="484E52" w:themeColor="text1" w:themeTint="F2"/>
          <w:szCs w:val="20"/>
        </w:rPr>
      </w:pPr>
      <w:r w:rsidRPr="000D513E">
        <w:rPr>
          <w:rFonts w:cs="Arial"/>
          <w:color w:val="484E52" w:themeColor="text1" w:themeTint="F2"/>
          <w:szCs w:val="20"/>
        </w:rPr>
        <w:lastRenderedPageBreak/>
        <w:t xml:space="preserve">Yours Sincerely, </w:t>
      </w:r>
    </w:p>
    <w:p w:rsidR="00153B71" w:rsidRDefault="00153B71" w:rsidP="00190F29">
      <w:pPr>
        <w:spacing w:after="0"/>
        <w:rPr>
          <w:rFonts w:cs="Arial"/>
          <w:b/>
          <w:color w:val="484E52" w:themeColor="text1" w:themeTint="F2"/>
          <w:szCs w:val="20"/>
        </w:rPr>
      </w:pPr>
    </w:p>
    <w:p w:rsidR="00190F29" w:rsidRDefault="00190F29" w:rsidP="00190F29">
      <w:pPr>
        <w:spacing w:after="0"/>
        <w:rPr>
          <w:rFonts w:cs="Arial"/>
          <w:b/>
          <w:color w:val="484E52" w:themeColor="text1" w:themeTint="F2"/>
          <w:szCs w:val="20"/>
        </w:rPr>
      </w:pPr>
      <w:r w:rsidRPr="001D1BD8">
        <w:rPr>
          <w:rFonts w:cs="Arial"/>
          <w:b/>
          <w:color w:val="484E52" w:themeColor="text1" w:themeTint="F2"/>
          <w:szCs w:val="20"/>
        </w:rPr>
        <w:t>Mark Williams</w:t>
      </w:r>
      <w:r w:rsidRPr="003A53DE">
        <w:rPr>
          <w:b/>
          <w:szCs w:val="20"/>
        </w:rPr>
        <w:t xml:space="preserve"> </w:t>
      </w:r>
    </w:p>
    <w:p w:rsidR="00190F29" w:rsidRDefault="00190F29" w:rsidP="00190F29">
      <w:pPr>
        <w:spacing w:after="0"/>
      </w:pPr>
      <w:r w:rsidRPr="00153B71">
        <w:t xml:space="preserve">Chair, IFoA Pensions Board </w:t>
      </w:r>
    </w:p>
    <w:p w:rsidR="00153B71" w:rsidRPr="00153B71" w:rsidRDefault="00153B71" w:rsidP="00190F29">
      <w:pPr>
        <w:spacing w:after="0"/>
        <w:rPr>
          <w:b/>
        </w:rPr>
      </w:pPr>
    </w:p>
    <w:p w:rsidR="00153B71" w:rsidRPr="00153B71" w:rsidRDefault="00153B71" w:rsidP="00190F29">
      <w:pPr>
        <w:spacing w:after="0"/>
      </w:pPr>
      <w:r w:rsidRPr="00153B71">
        <w:rPr>
          <w:b/>
        </w:rPr>
        <w:t>Jane Biggerstaff</w:t>
      </w:r>
    </w:p>
    <w:p w:rsidR="00153B71" w:rsidRPr="00153B71" w:rsidRDefault="00153B71" w:rsidP="00190F29">
      <w:pPr>
        <w:rPr>
          <w:rFonts w:cs="Arial"/>
          <w:bCs/>
          <w:color w:val="484E52" w:themeColor="text1" w:themeTint="F2"/>
          <w:szCs w:val="20"/>
        </w:rPr>
      </w:pPr>
      <w:r w:rsidRPr="00153B71">
        <w:rPr>
          <w:rFonts w:cs="Arial"/>
          <w:bCs/>
          <w:color w:val="484E52" w:themeColor="text1" w:themeTint="F2"/>
          <w:szCs w:val="20"/>
        </w:rPr>
        <w:t>Chair, IFoA Pensions Consultation Committee</w:t>
      </w:r>
    </w:p>
    <w:p w:rsidR="00190F29" w:rsidRDefault="00190F29" w:rsidP="00190F29">
      <w:pPr>
        <w:rPr>
          <w:rFonts w:cs="Arial"/>
          <w:b/>
          <w:bCs/>
          <w:color w:val="484E52" w:themeColor="text1" w:themeTint="F2"/>
          <w:szCs w:val="20"/>
        </w:rPr>
      </w:pPr>
    </w:p>
    <w:p w:rsidR="00190F29" w:rsidRDefault="00190F29" w:rsidP="00190F29">
      <w:pPr>
        <w:rPr>
          <w:rFonts w:cs="Arial"/>
          <w:b/>
          <w:bCs/>
          <w:color w:val="484E52" w:themeColor="text1" w:themeTint="F2"/>
          <w:szCs w:val="20"/>
        </w:rPr>
      </w:pPr>
    </w:p>
    <w:p w:rsidR="00190F29" w:rsidRDefault="00190F29" w:rsidP="00190F29">
      <w:pPr>
        <w:rPr>
          <w:rFonts w:cs="Arial"/>
          <w:b/>
          <w:bCs/>
          <w:color w:val="484E52" w:themeColor="text1" w:themeTint="F2"/>
          <w:szCs w:val="20"/>
        </w:rPr>
      </w:pPr>
    </w:p>
    <w:p w:rsidR="00190F29" w:rsidRDefault="00190F29" w:rsidP="00190F29">
      <w:pPr>
        <w:rPr>
          <w:rFonts w:cs="Arial"/>
          <w:b/>
          <w:bCs/>
          <w:color w:val="484E52" w:themeColor="text1" w:themeTint="F2"/>
          <w:szCs w:val="20"/>
        </w:rPr>
      </w:pPr>
    </w:p>
    <w:p w:rsidR="00190F29" w:rsidRDefault="00190F29" w:rsidP="00190F29">
      <w:pPr>
        <w:rPr>
          <w:rFonts w:cs="Arial"/>
          <w:b/>
          <w:bCs/>
          <w:color w:val="484E52" w:themeColor="text1" w:themeTint="F2"/>
          <w:szCs w:val="20"/>
        </w:rPr>
      </w:pPr>
    </w:p>
    <w:p w:rsidR="00190F29" w:rsidRPr="00190F29" w:rsidRDefault="00190F29" w:rsidP="00190F29">
      <w:pPr>
        <w:rPr>
          <w:rFonts w:cs="Arial"/>
          <w:b/>
          <w:bCs/>
          <w:color w:val="484E52" w:themeColor="text1" w:themeTint="F2"/>
          <w:szCs w:val="20"/>
        </w:rPr>
      </w:pPr>
    </w:p>
    <w:sectPr w:rsidR="00190F29" w:rsidRPr="00190F29" w:rsidSect="00990DEA">
      <w:headerReference w:type="default" r:id="rId12"/>
      <w:footerReference w:type="default" r:id="rId13"/>
      <w:headerReference w:type="first" r:id="rId14"/>
      <w:footerReference w:type="first" r:id="rId15"/>
      <w:pgSz w:w="11906" w:h="16838"/>
      <w:pgMar w:top="1440" w:right="1134" w:bottom="1440"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256" w:rsidRDefault="005E1256" w:rsidP="00B652E6">
      <w:pPr>
        <w:spacing w:after="0" w:line="240" w:lineRule="auto"/>
      </w:pPr>
      <w:r>
        <w:separator/>
      </w:r>
    </w:p>
  </w:endnote>
  <w:endnote w:type="continuationSeparator" w:id="0">
    <w:p w:rsidR="005E1256" w:rsidRDefault="005E1256" w:rsidP="00B65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2E6" w:rsidRDefault="009C6C32">
    <w:pPr>
      <w:pStyle w:val="Footer"/>
    </w:pPr>
    <w:r>
      <w:rPr>
        <w:noProof/>
        <w:lang w:eastAsia="en-GB"/>
      </w:rPr>
      <mc:AlternateContent>
        <mc:Choice Requires="wps">
          <w:drawing>
            <wp:anchor distT="0" distB="0" distL="114300" distR="114300" simplePos="0" relativeHeight="251697152" behindDoc="0" locked="0" layoutInCell="1" allowOverlap="1" wp14:anchorId="6DBCFF15" wp14:editId="0692C64A">
              <wp:simplePos x="0" y="0"/>
              <wp:positionH relativeFrom="column">
                <wp:posOffset>0</wp:posOffset>
              </wp:positionH>
              <wp:positionV relativeFrom="paragraph">
                <wp:posOffset>74930</wp:posOffset>
              </wp:positionV>
              <wp:extent cx="612457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612457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line w14:anchorId="552D140A" id="Straight Connector 12"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9pt" to="482.2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" strokecolor="#cda115 [3044]" strokeweight="1pt"/>
          </w:pict>
        </mc:Fallback>
      </mc:AlternateContent>
    </w:r>
    <w:r>
      <w:rPr>
        <w:noProof/>
        <w:lang w:eastAsia="en-GB"/>
      </w:rPr>
      <mc:AlternateContent>
        <mc:Choice Requires="wps">
          <w:drawing>
            <wp:anchor distT="0" distB="0" distL="114300" distR="114300" simplePos="0" relativeHeight="251698176" behindDoc="0" locked="0" layoutInCell="1" allowOverlap="1">
              <wp:simplePos x="0" y="0"/>
              <wp:positionH relativeFrom="column">
                <wp:posOffset>4680585</wp:posOffset>
              </wp:positionH>
              <wp:positionV relativeFrom="paragraph">
                <wp:posOffset>133985</wp:posOffset>
              </wp:positionV>
              <wp:extent cx="1447800" cy="2476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447800" cy="247650"/>
                      </a:xfrm>
                      <a:prstGeom prst="rect">
                        <a:avLst/>
                      </a:prstGeom>
                      <a:solidFill>
                        <a:schemeClr val="lt1"/>
                      </a:solidFill>
                      <a:ln w="6350">
                        <a:noFill/>
                      </a:ln>
                    </wps:spPr>
                    <wps:txbx>
                      <w:txbxContent>
                        <w:p w:rsidR="009C6C32" w:rsidRPr="009C6C32" w:rsidRDefault="009C6C32" w:rsidP="009C6C32">
                          <w:pPr>
                            <w:jc w:val="right"/>
                            <w:rPr>
                              <w:b/>
                              <w:bCs/>
                              <w:color w:val="D9AB16" w:themeColor="accent1"/>
                            </w:rPr>
                          </w:pPr>
                          <w:r w:rsidRPr="009C6C32">
                            <w:rPr>
                              <w:rFonts w:cs="Arial"/>
                              <w:b/>
                              <w:bCs/>
                              <w:color w:val="D9AB16" w:themeColor="accent1"/>
                              <w:sz w:val="16"/>
                              <w:szCs w:val="16"/>
                            </w:rPr>
                            <w:t>www.actuaries.org.uk</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368.55pt;margin-top:10.55pt;width:114pt;height:19.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" fillcolor="white [3201]" stroked="f" strokeweight=".5pt">
              <v:textbox inset="0,,0">
                <w:txbxContent>
                  <w:p w:rsidR="009C6C32" w:rsidRPr="009C6C32" w:rsidRDefault="009C6C32" w:rsidP="009C6C32">
                    <w:pPr>
                      <w:jc w:val="right"/>
                      <w:rPr>
                        <w:b/>
                        <w:bCs/>
                        <w:color w:val="D9AB16" w:themeColor="accent1"/>
                      </w:rPr>
                    </w:pPr>
                    <w:r w:rsidRPr="009C6C32">
                      <w:rPr>
                        <w:rFonts w:cs="Arial"/>
                        <w:b/>
                        <w:bCs/>
                        <w:color w:val="D9AB16" w:themeColor="accent1"/>
                        <w:sz w:val="16"/>
                        <w:szCs w:val="16"/>
                      </w:rPr>
                      <w:t>www.actuaries.org.uk</w:t>
                    </w:r>
                  </w:p>
                </w:txbxContent>
              </v:textbox>
            </v:shape>
          </w:pict>
        </mc:Fallback>
      </mc:AlternateContent>
    </w:r>
  </w:p>
  <w:p w:rsidR="00B652E6" w:rsidRPr="009C6C32" w:rsidRDefault="00734464" w:rsidP="009C6C32">
    <w:pPr>
      <w:rPr>
        <w:rFonts w:cs="Arial"/>
        <w:sz w:val="18"/>
        <w:szCs w:val="18"/>
      </w:rPr>
    </w:pPr>
    <w:r w:rsidRPr="009C6C32">
      <w:rPr>
        <w:rFonts w:cs="Arial"/>
        <w:sz w:val="18"/>
        <w:szCs w:val="18"/>
      </w:rPr>
      <w:fldChar w:fldCharType="begin"/>
    </w:r>
    <w:r w:rsidRPr="009C6C32">
      <w:rPr>
        <w:rFonts w:cs="Arial"/>
        <w:sz w:val="18"/>
        <w:szCs w:val="18"/>
      </w:rPr>
      <w:instrText xml:space="preserve"> PAGE   \* MERGEFORMAT </w:instrText>
    </w:r>
    <w:r w:rsidRPr="009C6C32">
      <w:rPr>
        <w:rFonts w:cs="Arial"/>
        <w:sz w:val="18"/>
        <w:szCs w:val="18"/>
      </w:rPr>
      <w:fldChar w:fldCharType="separate"/>
    </w:r>
    <w:r w:rsidR="00153B71">
      <w:rPr>
        <w:rFonts w:cs="Arial"/>
        <w:noProof/>
        <w:sz w:val="18"/>
        <w:szCs w:val="18"/>
      </w:rPr>
      <w:t>2</w:t>
    </w:r>
    <w:r w:rsidRPr="009C6C32">
      <w:rPr>
        <w:rFonts w:cs="Arial"/>
        <w:noProof/>
        <w:sz w:val="18"/>
        <w:szCs w:val="18"/>
      </w:rPr>
      <w:fldChar w:fldCharType="end"/>
    </w:r>
    <w:r w:rsidR="002F15BC" w:rsidRPr="009C6C32">
      <w:rPr>
        <w:rFonts w:cs="Arial"/>
        <w:sz w:val="18"/>
        <w:szCs w:val="18"/>
      </w:rPr>
      <w:tab/>
    </w:r>
    <w:r w:rsidR="002F15BC" w:rsidRPr="009C6C32">
      <w:rPr>
        <w:rFonts w:cs="Arial"/>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DEA" w:rsidRDefault="00990DEA">
    <w:pPr>
      <w:pStyle w:val="Footer"/>
    </w:pPr>
    <w:r>
      <w:rPr>
        <w:noProof/>
        <w:lang w:eastAsia="en-GB"/>
      </w:rPr>
      <mc:AlternateContent>
        <mc:Choice Requires="wps">
          <w:drawing>
            <wp:anchor distT="0" distB="0" distL="114300" distR="114300" simplePos="0" relativeHeight="251700224" behindDoc="0" locked="1" layoutInCell="1" allowOverlap="1" wp14:anchorId="31EF4D44" wp14:editId="4473EC9D">
              <wp:simplePos x="0" y="0"/>
              <wp:positionH relativeFrom="column">
                <wp:posOffset>-12065</wp:posOffset>
              </wp:positionH>
              <wp:positionV relativeFrom="page">
                <wp:posOffset>9163050</wp:posOffset>
              </wp:positionV>
              <wp:extent cx="612468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612468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line w14:anchorId="3212D234" id="Straight Connector 14"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95pt,721.5pt" to="481.3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" strokecolor="#cda115 [3044]" strokeweight="1pt">
              <w10:wrap anchory="page"/>
              <w10:anchorlock/>
            </v:line>
          </w:pict>
        </mc:Fallback>
      </mc:AlternateContent>
    </w:r>
  </w:p>
  <w:p w:rsidR="00990DEA" w:rsidRDefault="00990DEA">
    <w:pPr>
      <w:pStyle w:val="Footer"/>
    </w:pPr>
    <w:r>
      <w:rPr>
        <w:noProof/>
        <w:lang w:eastAsia="en-GB"/>
      </w:rPr>
      <mc:AlternateContent>
        <mc:Choice Requires="wps">
          <w:drawing>
            <wp:anchor distT="0" distB="0" distL="114300" distR="114300" simplePos="0" relativeHeight="251703296" behindDoc="0" locked="1" layoutInCell="1" allowOverlap="1" wp14:anchorId="004D579C" wp14:editId="3226AABA">
              <wp:simplePos x="0" y="0"/>
              <wp:positionH relativeFrom="column">
                <wp:posOffset>-5715</wp:posOffset>
              </wp:positionH>
              <wp:positionV relativeFrom="page">
                <wp:posOffset>9219565</wp:posOffset>
              </wp:positionV>
              <wp:extent cx="6114960" cy="831240"/>
              <wp:effectExtent l="0" t="0" r="635" b="6985"/>
              <wp:wrapNone/>
              <wp:docPr id="1" name="Text Box 1"/>
              <wp:cNvGraphicFramePr/>
              <a:graphic xmlns:a="http://schemas.openxmlformats.org/drawingml/2006/main">
                <a:graphicData uri="http://schemas.microsoft.com/office/word/2010/wordprocessingShape">
                  <wps:wsp>
                    <wps:cNvSpPr txBox="1"/>
                    <wps:spPr>
                      <a:xfrm>
                        <a:off x="0" y="0"/>
                        <a:ext cx="6114960" cy="831240"/>
                      </a:xfrm>
                      <a:prstGeom prst="rect">
                        <a:avLst/>
                      </a:prstGeom>
                      <a:noFill/>
                      <a:ln w="6350">
                        <a:noFill/>
                      </a:ln>
                    </wps:spPr>
                    <wps:txbx>
                      <w:txbxContent>
                        <w:p w:rsidR="00990DEA" w:rsidRPr="002F15BC" w:rsidRDefault="00990DEA" w:rsidP="00990DEA">
                          <w:pPr>
                            <w:pStyle w:val="Footer"/>
                            <w:tabs>
                              <w:tab w:val="left" w:pos="1985"/>
                              <w:tab w:val="left" w:pos="4513"/>
                            </w:tabs>
                            <w:spacing w:after="20"/>
                            <w:rPr>
                              <w:rFonts w:cs="Arial"/>
                              <w:color w:val="002060" w:themeColor="text2"/>
                              <w:sz w:val="15"/>
                              <w:szCs w:val="15"/>
                            </w:rPr>
                          </w:pPr>
                          <w:r w:rsidRPr="002F15BC">
                            <w:rPr>
                              <w:rFonts w:cs="Arial"/>
                              <w:b/>
                              <w:bCs/>
                              <w:color w:val="D9AB16" w:themeColor="accent1"/>
                              <w:sz w:val="15"/>
                              <w:szCs w:val="15"/>
                            </w:rPr>
                            <w:t>Beijing</w:t>
                          </w:r>
                          <w:r w:rsidRPr="002F15BC">
                            <w:rPr>
                              <w:rFonts w:cs="Arial"/>
                              <w:sz w:val="15"/>
                              <w:szCs w:val="15"/>
                            </w:rPr>
                            <w:t xml:space="preserve"> </w:t>
                          </w:r>
                          <w:r w:rsidRPr="002F15BC">
                            <w:rPr>
                              <w:rFonts w:cs="Arial"/>
                              <w:sz w:val="15"/>
                              <w:szCs w:val="15"/>
                            </w:rPr>
                            <w:tab/>
                          </w:r>
                          <w:r w:rsidRPr="009D752A">
                            <w:rPr>
                              <w:rFonts w:cs="Arial"/>
                              <w:sz w:val="15"/>
                              <w:szCs w:val="15"/>
                            </w:rPr>
                            <w:t xml:space="preserve">14F China World Office 1 · 1 Jianwai Avenue · Beijing · China 100004 · </w:t>
                          </w:r>
                          <w:r w:rsidRPr="009D752A">
                            <w:rPr>
                              <w:rFonts w:cs="Arial"/>
                              <w:b/>
                              <w:bCs/>
                              <w:sz w:val="15"/>
                              <w:szCs w:val="15"/>
                            </w:rPr>
                            <w:t>Tel</w:t>
                          </w:r>
                          <w:r w:rsidRPr="009D752A">
                            <w:rPr>
                              <w:rFonts w:cs="Arial"/>
                              <w:sz w:val="15"/>
                              <w:szCs w:val="15"/>
                            </w:rPr>
                            <w:t>: +86 (10) 6535 0248</w:t>
                          </w:r>
                        </w:p>
                        <w:p w:rsidR="00990DEA" w:rsidRPr="002F15BC" w:rsidRDefault="00990DEA" w:rsidP="00990DEA">
                          <w:pPr>
                            <w:pStyle w:val="Footer"/>
                            <w:tabs>
                              <w:tab w:val="left" w:pos="1985"/>
                              <w:tab w:val="left" w:pos="4513"/>
                            </w:tabs>
                            <w:spacing w:after="20"/>
                            <w:rPr>
                              <w:rFonts w:cs="Arial"/>
                              <w:sz w:val="15"/>
                              <w:szCs w:val="15"/>
                            </w:rPr>
                          </w:pPr>
                          <w:r w:rsidRPr="002F15BC">
                            <w:rPr>
                              <w:rFonts w:cs="Arial"/>
                              <w:b/>
                              <w:bCs/>
                              <w:color w:val="D9AB16" w:themeColor="accent1"/>
                              <w:sz w:val="15"/>
                              <w:szCs w:val="15"/>
                            </w:rPr>
                            <w:t>Edinburgh</w:t>
                          </w:r>
                          <w:r w:rsidRPr="002F15BC">
                            <w:rPr>
                              <w:rFonts w:cs="Arial"/>
                              <w:sz w:val="15"/>
                              <w:szCs w:val="15"/>
                            </w:rPr>
                            <w:tab/>
                          </w:r>
                          <w:r w:rsidRPr="009D752A">
                            <w:rPr>
                              <w:rFonts w:cs="Arial"/>
                              <w:sz w:val="15"/>
                              <w:szCs w:val="15"/>
                            </w:rPr>
                            <w:t xml:space="preserve">Level 2 · Exchange Crescent · 7 Conference Square · Edinburgh · EH3 8RA · </w:t>
                          </w:r>
                          <w:r w:rsidRPr="009D752A">
                            <w:rPr>
                              <w:rFonts w:cs="Arial"/>
                              <w:b/>
                              <w:bCs/>
                              <w:sz w:val="15"/>
                              <w:szCs w:val="15"/>
                            </w:rPr>
                            <w:t>Tel</w:t>
                          </w:r>
                          <w:r w:rsidRPr="009D752A">
                            <w:rPr>
                              <w:rFonts w:cs="Arial"/>
                              <w:sz w:val="15"/>
                              <w:szCs w:val="15"/>
                            </w:rPr>
                            <w:t>: +44 (0) 131 240 1300</w:t>
                          </w:r>
                        </w:p>
                        <w:p w:rsidR="00990DEA" w:rsidRPr="002F15BC" w:rsidRDefault="00990DEA" w:rsidP="00990DEA">
                          <w:pPr>
                            <w:pStyle w:val="Footer"/>
                            <w:tabs>
                              <w:tab w:val="left" w:pos="1985"/>
                              <w:tab w:val="left" w:pos="4513"/>
                            </w:tabs>
                            <w:spacing w:after="20"/>
                            <w:rPr>
                              <w:rFonts w:cs="Arial"/>
                              <w:sz w:val="15"/>
                              <w:szCs w:val="15"/>
                            </w:rPr>
                          </w:pPr>
                          <w:r w:rsidRPr="002F15BC">
                            <w:rPr>
                              <w:rFonts w:cs="Arial"/>
                              <w:b/>
                              <w:bCs/>
                              <w:color w:val="D9AB16" w:themeColor="accent1"/>
                              <w:sz w:val="15"/>
                              <w:szCs w:val="15"/>
                            </w:rPr>
                            <w:t>Hong Kong</w:t>
                          </w:r>
                          <w:r w:rsidRPr="002F15BC">
                            <w:rPr>
                              <w:rFonts w:cs="Arial"/>
                              <w:color w:val="D9AB16" w:themeColor="accent1"/>
                              <w:sz w:val="15"/>
                              <w:szCs w:val="15"/>
                            </w:rPr>
                            <w:t xml:space="preserve"> </w:t>
                          </w:r>
                          <w:r w:rsidRPr="002F15BC">
                            <w:rPr>
                              <w:rFonts w:cs="Arial"/>
                              <w:sz w:val="15"/>
                              <w:szCs w:val="15"/>
                            </w:rPr>
                            <w:tab/>
                          </w:r>
                          <w:r w:rsidRPr="009D752A">
                            <w:rPr>
                              <w:rFonts w:cs="Arial"/>
                              <w:sz w:val="15"/>
                              <w:szCs w:val="15"/>
                            </w:rPr>
                            <w:t xml:space="preserve">1803 Tower One · Lippo Centre · 89 Queensway · Hong Kong · </w:t>
                          </w:r>
                          <w:r w:rsidRPr="009D752A">
                            <w:rPr>
                              <w:rFonts w:cs="Arial"/>
                              <w:b/>
                              <w:bCs/>
                              <w:sz w:val="15"/>
                              <w:szCs w:val="15"/>
                            </w:rPr>
                            <w:t xml:space="preserve">Tel: </w:t>
                          </w:r>
                          <w:r w:rsidRPr="009D752A">
                            <w:rPr>
                              <w:rFonts w:cs="Arial"/>
                              <w:sz w:val="15"/>
                              <w:szCs w:val="15"/>
                            </w:rPr>
                            <w:t>+852 2147 9418</w:t>
                          </w:r>
                          <w:r w:rsidRPr="002F15BC">
                            <w:rPr>
                              <w:rFonts w:cs="Arial"/>
                              <w:color w:val="002060" w:themeColor="text2"/>
                              <w:sz w:val="15"/>
                              <w:szCs w:val="15"/>
                            </w:rPr>
                            <w:t xml:space="preserve"> </w:t>
                          </w:r>
                        </w:p>
                        <w:p w:rsidR="00990DEA" w:rsidRPr="002F15BC" w:rsidRDefault="00990DEA" w:rsidP="00990DEA">
                          <w:pPr>
                            <w:pStyle w:val="Footer"/>
                            <w:tabs>
                              <w:tab w:val="left" w:pos="1985"/>
                              <w:tab w:val="left" w:pos="4513"/>
                            </w:tabs>
                            <w:spacing w:after="20"/>
                            <w:rPr>
                              <w:rFonts w:cs="Arial"/>
                              <w:sz w:val="15"/>
                              <w:szCs w:val="15"/>
                            </w:rPr>
                          </w:pPr>
                          <w:r w:rsidRPr="002F15BC">
                            <w:rPr>
                              <w:rFonts w:cs="Arial"/>
                              <w:b/>
                              <w:bCs/>
                              <w:color w:val="D9AB16" w:themeColor="accent1"/>
                              <w:sz w:val="15"/>
                              <w:szCs w:val="15"/>
                            </w:rPr>
                            <w:t>London</w:t>
                          </w:r>
                          <w:r w:rsidRPr="002F15BC">
                            <w:rPr>
                              <w:rFonts w:cs="Arial"/>
                              <w:color w:val="D9AB16" w:themeColor="accent1"/>
                              <w:sz w:val="15"/>
                              <w:szCs w:val="15"/>
                            </w:rPr>
                            <w:t xml:space="preserve"> (registered office)</w:t>
                          </w:r>
                          <w:r w:rsidRPr="002F15BC">
                            <w:rPr>
                              <w:rFonts w:cs="Arial"/>
                              <w:sz w:val="15"/>
                              <w:szCs w:val="15"/>
                            </w:rPr>
                            <w:t xml:space="preserve"> </w:t>
                          </w:r>
                          <w:r w:rsidRPr="002F15BC">
                            <w:rPr>
                              <w:rFonts w:cs="Arial"/>
                              <w:color w:val="002060" w:themeColor="text2"/>
                              <w:sz w:val="15"/>
                              <w:szCs w:val="15"/>
                            </w:rPr>
                            <w:tab/>
                          </w:r>
                          <w:r w:rsidRPr="009D752A">
                            <w:rPr>
                              <w:rFonts w:cs="Arial"/>
                              <w:sz w:val="15"/>
                              <w:szCs w:val="15"/>
                            </w:rPr>
                            <w:t xml:space="preserve">7th Floor · Holborn Gate · 326-330 High Holborn · London · WC1V 7PP · </w:t>
                          </w:r>
                          <w:r w:rsidRPr="009D752A">
                            <w:rPr>
                              <w:rFonts w:cs="Arial"/>
                              <w:b/>
                              <w:bCs/>
                              <w:sz w:val="15"/>
                              <w:szCs w:val="15"/>
                            </w:rPr>
                            <w:t>Tel</w:t>
                          </w:r>
                          <w:r w:rsidRPr="009D752A">
                            <w:rPr>
                              <w:rFonts w:cs="Arial"/>
                              <w:sz w:val="15"/>
                              <w:szCs w:val="15"/>
                            </w:rPr>
                            <w:t>: +44 (0) 20 7632 2100</w:t>
                          </w:r>
                        </w:p>
                        <w:p w:rsidR="00990DEA" w:rsidRPr="002F15BC" w:rsidRDefault="00990DEA" w:rsidP="00990DEA">
                          <w:pPr>
                            <w:pStyle w:val="Footer"/>
                            <w:tabs>
                              <w:tab w:val="left" w:pos="1985"/>
                              <w:tab w:val="left" w:pos="4513"/>
                            </w:tabs>
                            <w:spacing w:after="20"/>
                            <w:rPr>
                              <w:rFonts w:cs="Arial"/>
                              <w:color w:val="002060" w:themeColor="text2"/>
                              <w:sz w:val="15"/>
                              <w:szCs w:val="15"/>
                            </w:rPr>
                          </w:pPr>
                          <w:r w:rsidRPr="002F15BC">
                            <w:rPr>
                              <w:rFonts w:cs="Arial"/>
                              <w:b/>
                              <w:bCs/>
                              <w:color w:val="D9AB16" w:themeColor="accent1"/>
                              <w:sz w:val="15"/>
                              <w:szCs w:val="15"/>
                            </w:rPr>
                            <w:t>Oxford</w:t>
                          </w:r>
                          <w:r w:rsidRPr="002F15BC">
                            <w:rPr>
                              <w:rFonts w:cs="Arial"/>
                              <w:sz w:val="15"/>
                              <w:szCs w:val="15"/>
                            </w:rPr>
                            <w:t xml:space="preserve"> </w:t>
                          </w:r>
                          <w:r w:rsidRPr="002F15BC">
                            <w:rPr>
                              <w:rFonts w:cs="Arial"/>
                              <w:sz w:val="15"/>
                              <w:szCs w:val="15"/>
                            </w:rPr>
                            <w:tab/>
                          </w:r>
                          <w:r w:rsidRPr="009D752A">
                            <w:rPr>
                              <w:rFonts w:cs="Arial"/>
                              <w:sz w:val="15"/>
                              <w:szCs w:val="15"/>
                            </w:rPr>
                            <w:t xml:space="preserve">1st Floor · Park Central · 40/41 Park End Street · Oxford · OX1 1JD · </w:t>
                          </w:r>
                          <w:r w:rsidRPr="009D752A">
                            <w:rPr>
                              <w:rFonts w:cs="Arial"/>
                              <w:b/>
                              <w:bCs/>
                              <w:sz w:val="15"/>
                              <w:szCs w:val="15"/>
                            </w:rPr>
                            <w:t>Tel</w:t>
                          </w:r>
                          <w:r w:rsidRPr="009D752A">
                            <w:rPr>
                              <w:rFonts w:cs="Arial"/>
                              <w:sz w:val="15"/>
                              <w:szCs w:val="15"/>
                            </w:rPr>
                            <w:t>: +44 (0) 1865 268 200</w:t>
                          </w:r>
                        </w:p>
                        <w:p w:rsidR="00990DEA" w:rsidRPr="00990DEA" w:rsidRDefault="00990DEA" w:rsidP="0055074F">
                          <w:pPr>
                            <w:pStyle w:val="Footer"/>
                            <w:tabs>
                              <w:tab w:val="left" w:pos="1985"/>
                              <w:tab w:val="left" w:pos="4513"/>
                            </w:tabs>
                            <w:spacing w:after="20"/>
                            <w:rPr>
                              <w:rFonts w:cs="Arial"/>
                              <w:color w:val="002060" w:themeColor="text2"/>
                              <w:sz w:val="15"/>
                              <w:szCs w:val="15"/>
                            </w:rPr>
                          </w:pPr>
                          <w:r w:rsidRPr="002F15BC">
                            <w:rPr>
                              <w:rFonts w:cs="Arial"/>
                              <w:b/>
                              <w:bCs/>
                              <w:color w:val="D9AB16" w:themeColor="accent1"/>
                              <w:sz w:val="15"/>
                              <w:szCs w:val="15"/>
                            </w:rPr>
                            <w:t>Singapore</w:t>
                          </w:r>
                          <w:r w:rsidRPr="002F15BC">
                            <w:rPr>
                              <w:rFonts w:cs="Arial"/>
                              <w:sz w:val="15"/>
                              <w:szCs w:val="15"/>
                            </w:rPr>
                            <w:t xml:space="preserve"> </w:t>
                          </w:r>
                          <w:r w:rsidRPr="002F15BC">
                            <w:rPr>
                              <w:rFonts w:cs="Arial"/>
                              <w:sz w:val="15"/>
                              <w:szCs w:val="15"/>
                            </w:rPr>
                            <w:tab/>
                          </w:r>
                          <w:r w:rsidRPr="009D752A">
                            <w:rPr>
                              <w:rFonts w:cs="Arial"/>
                              <w:sz w:val="15"/>
                              <w:szCs w:val="15"/>
                            </w:rPr>
                            <w:t xml:space="preserve">163 Tras Street · #07-05 Lian Huat Building · Singapore 079024 · </w:t>
                          </w:r>
                          <w:r w:rsidRPr="009D752A">
                            <w:rPr>
                              <w:rFonts w:cs="Arial"/>
                              <w:b/>
                              <w:bCs/>
                              <w:sz w:val="15"/>
                              <w:szCs w:val="15"/>
                            </w:rPr>
                            <w:t>Tel</w:t>
                          </w:r>
                          <w:r w:rsidRPr="009D752A">
                            <w:rPr>
                              <w:rFonts w:cs="Arial"/>
                              <w:sz w:val="15"/>
                              <w:szCs w:val="15"/>
                            </w:rPr>
                            <w:t>: +65 6906 0889</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04D579C" id="_x0000_t202" coordsize="21600,21600" o:spt="202" path="m,l,21600r21600,l21600,xe">
              <v:stroke joinstyle="miter"/>
              <v:path gradientshapeok="t" o:connecttype="rect"/>
            </v:shapetype>
            <v:shape id="Text Box 1" o:spid="_x0000_s1031" type="#_x0000_t202" style="position:absolute;margin-left:-.45pt;margin-top:725.95pt;width:481.5pt;height:65.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" filled="f" stroked="f" strokeweight=".5pt">
              <v:textbox style="mso-fit-shape-to-text:t" inset="0,,0">
                <w:txbxContent>
                  <w:p w:rsidR="00990DEA" w:rsidRPr="002F15BC" w:rsidRDefault="00990DEA" w:rsidP="00990DEA">
                    <w:pPr>
                      <w:pStyle w:val="Footer"/>
                      <w:tabs>
                        <w:tab w:val="left" w:pos="1985"/>
                        <w:tab w:val="left" w:pos="4513"/>
                      </w:tabs>
                      <w:spacing w:after="20"/>
                      <w:rPr>
                        <w:rFonts w:cs="Arial"/>
                        <w:color w:val="002060" w:themeColor="text2"/>
                        <w:sz w:val="15"/>
                        <w:szCs w:val="15"/>
                      </w:rPr>
                    </w:pPr>
                    <w:r w:rsidRPr="002F15BC">
                      <w:rPr>
                        <w:rFonts w:cs="Arial"/>
                        <w:b/>
                        <w:bCs/>
                        <w:color w:val="D9AB16" w:themeColor="accent1"/>
                        <w:sz w:val="15"/>
                        <w:szCs w:val="15"/>
                      </w:rPr>
                      <w:t>Beijing</w:t>
                    </w:r>
                    <w:r w:rsidRPr="002F15BC">
                      <w:rPr>
                        <w:rFonts w:cs="Arial"/>
                        <w:sz w:val="15"/>
                        <w:szCs w:val="15"/>
                      </w:rPr>
                      <w:t xml:space="preserve"> </w:t>
                    </w:r>
                    <w:r w:rsidRPr="002F15BC">
                      <w:rPr>
                        <w:rFonts w:cs="Arial"/>
                        <w:sz w:val="15"/>
                        <w:szCs w:val="15"/>
                      </w:rPr>
                      <w:tab/>
                    </w:r>
                    <w:r w:rsidRPr="009D752A">
                      <w:rPr>
                        <w:rFonts w:cs="Arial"/>
                        <w:sz w:val="15"/>
                        <w:szCs w:val="15"/>
                      </w:rPr>
                      <w:t xml:space="preserve">14F China World Office 1 · 1 Jianwai Avenue · Beijing · China 100004 · </w:t>
                    </w:r>
                    <w:r w:rsidRPr="009D752A">
                      <w:rPr>
                        <w:rFonts w:cs="Arial"/>
                        <w:b/>
                        <w:bCs/>
                        <w:sz w:val="15"/>
                        <w:szCs w:val="15"/>
                      </w:rPr>
                      <w:t>Tel</w:t>
                    </w:r>
                    <w:r w:rsidRPr="009D752A">
                      <w:rPr>
                        <w:rFonts w:cs="Arial"/>
                        <w:sz w:val="15"/>
                        <w:szCs w:val="15"/>
                      </w:rPr>
                      <w:t>: +86 (10) 6535 0248</w:t>
                    </w:r>
                  </w:p>
                  <w:p w:rsidR="00990DEA" w:rsidRPr="002F15BC" w:rsidRDefault="00990DEA" w:rsidP="00990DEA">
                    <w:pPr>
                      <w:pStyle w:val="Footer"/>
                      <w:tabs>
                        <w:tab w:val="left" w:pos="1985"/>
                        <w:tab w:val="left" w:pos="4513"/>
                      </w:tabs>
                      <w:spacing w:after="20"/>
                      <w:rPr>
                        <w:rFonts w:cs="Arial"/>
                        <w:sz w:val="15"/>
                        <w:szCs w:val="15"/>
                      </w:rPr>
                    </w:pPr>
                    <w:r w:rsidRPr="002F15BC">
                      <w:rPr>
                        <w:rFonts w:cs="Arial"/>
                        <w:b/>
                        <w:bCs/>
                        <w:color w:val="D9AB16" w:themeColor="accent1"/>
                        <w:sz w:val="15"/>
                        <w:szCs w:val="15"/>
                      </w:rPr>
                      <w:t>Edinburgh</w:t>
                    </w:r>
                    <w:r w:rsidRPr="002F15BC">
                      <w:rPr>
                        <w:rFonts w:cs="Arial"/>
                        <w:sz w:val="15"/>
                        <w:szCs w:val="15"/>
                      </w:rPr>
                      <w:tab/>
                    </w:r>
                    <w:r w:rsidRPr="009D752A">
                      <w:rPr>
                        <w:rFonts w:cs="Arial"/>
                        <w:sz w:val="15"/>
                        <w:szCs w:val="15"/>
                      </w:rPr>
                      <w:t xml:space="preserve">Level 2 · Exchange Crescent · 7 Conference Square · Edinburgh · EH3 8RA · </w:t>
                    </w:r>
                    <w:r w:rsidRPr="009D752A">
                      <w:rPr>
                        <w:rFonts w:cs="Arial"/>
                        <w:b/>
                        <w:bCs/>
                        <w:sz w:val="15"/>
                        <w:szCs w:val="15"/>
                      </w:rPr>
                      <w:t>Tel</w:t>
                    </w:r>
                    <w:r w:rsidRPr="009D752A">
                      <w:rPr>
                        <w:rFonts w:cs="Arial"/>
                        <w:sz w:val="15"/>
                        <w:szCs w:val="15"/>
                      </w:rPr>
                      <w:t>: +44 (0) 131 240 1300</w:t>
                    </w:r>
                  </w:p>
                  <w:p w:rsidR="00990DEA" w:rsidRPr="002F15BC" w:rsidRDefault="00990DEA" w:rsidP="00990DEA">
                    <w:pPr>
                      <w:pStyle w:val="Footer"/>
                      <w:tabs>
                        <w:tab w:val="left" w:pos="1985"/>
                        <w:tab w:val="left" w:pos="4513"/>
                      </w:tabs>
                      <w:spacing w:after="20"/>
                      <w:rPr>
                        <w:rFonts w:cs="Arial"/>
                        <w:sz w:val="15"/>
                        <w:szCs w:val="15"/>
                      </w:rPr>
                    </w:pPr>
                    <w:r w:rsidRPr="002F15BC">
                      <w:rPr>
                        <w:rFonts w:cs="Arial"/>
                        <w:b/>
                        <w:bCs/>
                        <w:color w:val="D9AB16" w:themeColor="accent1"/>
                        <w:sz w:val="15"/>
                        <w:szCs w:val="15"/>
                      </w:rPr>
                      <w:t>Hong Kong</w:t>
                    </w:r>
                    <w:r w:rsidRPr="002F15BC">
                      <w:rPr>
                        <w:rFonts w:cs="Arial"/>
                        <w:color w:val="D9AB16" w:themeColor="accent1"/>
                        <w:sz w:val="15"/>
                        <w:szCs w:val="15"/>
                      </w:rPr>
                      <w:t xml:space="preserve"> </w:t>
                    </w:r>
                    <w:r w:rsidRPr="002F15BC">
                      <w:rPr>
                        <w:rFonts w:cs="Arial"/>
                        <w:sz w:val="15"/>
                        <w:szCs w:val="15"/>
                      </w:rPr>
                      <w:tab/>
                    </w:r>
                    <w:r w:rsidRPr="009D752A">
                      <w:rPr>
                        <w:rFonts w:cs="Arial"/>
                        <w:sz w:val="15"/>
                        <w:szCs w:val="15"/>
                      </w:rPr>
                      <w:t xml:space="preserve">1803 Tower One · Lippo Centre · 89 Queensway · Hong Kong · </w:t>
                    </w:r>
                    <w:r w:rsidRPr="009D752A">
                      <w:rPr>
                        <w:rFonts w:cs="Arial"/>
                        <w:b/>
                        <w:bCs/>
                        <w:sz w:val="15"/>
                        <w:szCs w:val="15"/>
                      </w:rPr>
                      <w:t xml:space="preserve">Tel: </w:t>
                    </w:r>
                    <w:r w:rsidRPr="009D752A">
                      <w:rPr>
                        <w:rFonts w:cs="Arial"/>
                        <w:sz w:val="15"/>
                        <w:szCs w:val="15"/>
                      </w:rPr>
                      <w:t>+852 2147 9418</w:t>
                    </w:r>
                    <w:r w:rsidRPr="002F15BC">
                      <w:rPr>
                        <w:rFonts w:cs="Arial"/>
                        <w:color w:val="002060" w:themeColor="text2"/>
                        <w:sz w:val="15"/>
                        <w:szCs w:val="15"/>
                      </w:rPr>
                      <w:t xml:space="preserve"> </w:t>
                    </w:r>
                  </w:p>
                  <w:p w:rsidR="00990DEA" w:rsidRPr="002F15BC" w:rsidRDefault="00990DEA" w:rsidP="00990DEA">
                    <w:pPr>
                      <w:pStyle w:val="Footer"/>
                      <w:tabs>
                        <w:tab w:val="left" w:pos="1985"/>
                        <w:tab w:val="left" w:pos="4513"/>
                      </w:tabs>
                      <w:spacing w:after="20"/>
                      <w:rPr>
                        <w:rFonts w:cs="Arial"/>
                        <w:sz w:val="15"/>
                        <w:szCs w:val="15"/>
                      </w:rPr>
                    </w:pPr>
                    <w:r w:rsidRPr="002F15BC">
                      <w:rPr>
                        <w:rFonts w:cs="Arial"/>
                        <w:b/>
                        <w:bCs/>
                        <w:color w:val="D9AB16" w:themeColor="accent1"/>
                        <w:sz w:val="15"/>
                        <w:szCs w:val="15"/>
                      </w:rPr>
                      <w:t>London</w:t>
                    </w:r>
                    <w:r w:rsidRPr="002F15BC">
                      <w:rPr>
                        <w:rFonts w:cs="Arial"/>
                        <w:color w:val="D9AB16" w:themeColor="accent1"/>
                        <w:sz w:val="15"/>
                        <w:szCs w:val="15"/>
                      </w:rPr>
                      <w:t xml:space="preserve"> (registered office)</w:t>
                    </w:r>
                    <w:r w:rsidRPr="002F15BC">
                      <w:rPr>
                        <w:rFonts w:cs="Arial"/>
                        <w:sz w:val="15"/>
                        <w:szCs w:val="15"/>
                      </w:rPr>
                      <w:t xml:space="preserve"> </w:t>
                    </w:r>
                    <w:r w:rsidRPr="002F15BC">
                      <w:rPr>
                        <w:rFonts w:cs="Arial"/>
                        <w:color w:val="002060" w:themeColor="text2"/>
                        <w:sz w:val="15"/>
                        <w:szCs w:val="15"/>
                      </w:rPr>
                      <w:tab/>
                    </w:r>
                    <w:r w:rsidRPr="009D752A">
                      <w:rPr>
                        <w:rFonts w:cs="Arial"/>
                        <w:sz w:val="15"/>
                        <w:szCs w:val="15"/>
                      </w:rPr>
                      <w:t xml:space="preserve">7th Floor · Holborn Gate · 326-330 High Holborn · London · WC1V 7PP · </w:t>
                    </w:r>
                    <w:r w:rsidRPr="009D752A">
                      <w:rPr>
                        <w:rFonts w:cs="Arial"/>
                        <w:b/>
                        <w:bCs/>
                        <w:sz w:val="15"/>
                        <w:szCs w:val="15"/>
                      </w:rPr>
                      <w:t>Tel</w:t>
                    </w:r>
                    <w:r w:rsidRPr="009D752A">
                      <w:rPr>
                        <w:rFonts w:cs="Arial"/>
                        <w:sz w:val="15"/>
                        <w:szCs w:val="15"/>
                      </w:rPr>
                      <w:t>: +44 (0) 20 7632 2100</w:t>
                    </w:r>
                  </w:p>
                  <w:p w:rsidR="00990DEA" w:rsidRPr="002F15BC" w:rsidRDefault="00990DEA" w:rsidP="00990DEA">
                    <w:pPr>
                      <w:pStyle w:val="Footer"/>
                      <w:tabs>
                        <w:tab w:val="left" w:pos="1985"/>
                        <w:tab w:val="left" w:pos="4513"/>
                      </w:tabs>
                      <w:spacing w:after="20"/>
                      <w:rPr>
                        <w:rFonts w:cs="Arial"/>
                        <w:color w:val="002060" w:themeColor="text2"/>
                        <w:sz w:val="15"/>
                        <w:szCs w:val="15"/>
                      </w:rPr>
                    </w:pPr>
                    <w:r w:rsidRPr="002F15BC">
                      <w:rPr>
                        <w:rFonts w:cs="Arial"/>
                        <w:b/>
                        <w:bCs/>
                        <w:color w:val="D9AB16" w:themeColor="accent1"/>
                        <w:sz w:val="15"/>
                        <w:szCs w:val="15"/>
                      </w:rPr>
                      <w:t>Oxford</w:t>
                    </w:r>
                    <w:r w:rsidRPr="002F15BC">
                      <w:rPr>
                        <w:rFonts w:cs="Arial"/>
                        <w:sz w:val="15"/>
                        <w:szCs w:val="15"/>
                      </w:rPr>
                      <w:t xml:space="preserve"> </w:t>
                    </w:r>
                    <w:r w:rsidRPr="002F15BC">
                      <w:rPr>
                        <w:rFonts w:cs="Arial"/>
                        <w:sz w:val="15"/>
                        <w:szCs w:val="15"/>
                      </w:rPr>
                      <w:tab/>
                    </w:r>
                    <w:r w:rsidRPr="009D752A">
                      <w:rPr>
                        <w:rFonts w:cs="Arial"/>
                        <w:sz w:val="15"/>
                        <w:szCs w:val="15"/>
                      </w:rPr>
                      <w:t xml:space="preserve">1st Floor · Park Central · 40/41 Park End Street · Oxford · OX1 1JD · </w:t>
                    </w:r>
                    <w:r w:rsidRPr="009D752A">
                      <w:rPr>
                        <w:rFonts w:cs="Arial"/>
                        <w:b/>
                        <w:bCs/>
                        <w:sz w:val="15"/>
                        <w:szCs w:val="15"/>
                      </w:rPr>
                      <w:t>Tel</w:t>
                    </w:r>
                    <w:r w:rsidRPr="009D752A">
                      <w:rPr>
                        <w:rFonts w:cs="Arial"/>
                        <w:sz w:val="15"/>
                        <w:szCs w:val="15"/>
                      </w:rPr>
                      <w:t>: +44 (0) 1865 268 200</w:t>
                    </w:r>
                  </w:p>
                  <w:p w:rsidR="00990DEA" w:rsidRPr="00990DEA" w:rsidRDefault="00990DEA" w:rsidP="0055074F">
                    <w:pPr>
                      <w:pStyle w:val="Footer"/>
                      <w:tabs>
                        <w:tab w:val="left" w:pos="1985"/>
                        <w:tab w:val="left" w:pos="4513"/>
                      </w:tabs>
                      <w:spacing w:after="20"/>
                      <w:rPr>
                        <w:rFonts w:cs="Arial"/>
                        <w:color w:val="002060" w:themeColor="text2"/>
                        <w:sz w:val="15"/>
                        <w:szCs w:val="15"/>
                      </w:rPr>
                    </w:pPr>
                    <w:r w:rsidRPr="002F15BC">
                      <w:rPr>
                        <w:rFonts w:cs="Arial"/>
                        <w:b/>
                        <w:bCs/>
                        <w:color w:val="D9AB16" w:themeColor="accent1"/>
                        <w:sz w:val="15"/>
                        <w:szCs w:val="15"/>
                      </w:rPr>
                      <w:t>Singapore</w:t>
                    </w:r>
                    <w:r w:rsidRPr="002F15BC">
                      <w:rPr>
                        <w:rFonts w:cs="Arial"/>
                        <w:sz w:val="15"/>
                        <w:szCs w:val="15"/>
                      </w:rPr>
                      <w:t xml:space="preserve"> </w:t>
                    </w:r>
                    <w:r w:rsidRPr="002F15BC">
                      <w:rPr>
                        <w:rFonts w:cs="Arial"/>
                        <w:sz w:val="15"/>
                        <w:szCs w:val="15"/>
                      </w:rPr>
                      <w:tab/>
                    </w:r>
                    <w:r w:rsidRPr="009D752A">
                      <w:rPr>
                        <w:rFonts w:cs="Arial"/>
                        <w:sz w:val="15"/>
                        <w:szCs w:val="15"/>
                      </w:rPr>
                      <w:t xml:space="preserve">163 Tras Street · #07-05 Lian Huat Building · Singapore 079024 · </w:t>
                    </w:r>
                    <w:r w:rsidRPr="009D752A">
                      <w:rPr>
                        <w:rFonts w:cs="Arial"/>
                        <w:b/>
                        <w:bCs/>
                        <w:sz w:val="15"/>
                        <w:szCs w:val="15"/>
                      </w:rPr>
                      <w:t>Tel</w:t>
                    </w:r>
                    <w:r w:rsidRPr="009D752A">
                      <w:rPr>
                        <w:rFonts w:cs="Arial"/>
                        <w:sz w:val="15"/>
                        <w:szCs w:val="15"/>
                      </w:rPr>
                      <w:t>: +65 6906 0889</w:t>
                    </w:r>
                  </w:p>
                </w:txbxContent>
              </v:textbox>
              <w10:wrap anchory="page"/>
              <w10:anchorlock/>
            </v:shape>
          </w:pict>
        </mc:Fallback>
      </mc:AlternateContent>
    </w:r>
  </w:p>
  <w:p w:rsidR="00990DEA" w:rsidRDefault="00990DEA">
    <w:pPr>
      <w:pStyle w:val="Footer"/>
    </w:pPr>
  </w:p>
  <w:p w:rsidR="00990DEA" w:rsidRDefault="00990DEA">
    <w:pPr>
      <w:pStyle w:val="Footer"/>
    </w:pPr>
  </w:p>
  <w:p w:rsidR="00990DEA" w:rsidRDefault="00990DEA">
    <w:pPr>
      <w:pStyle w:val="Footer"/>
    </w:pPr>
  </w:p>
  <w:p w:rsidR="00990DEA" w:rsidRDefault="00990DEA">
    <w:pPr>
      <w:pStyle w:val="Footer"/>
    </w:pPr>
  </w:p>
  <w:p w:rsidR="009B6834" w:rsidRDefault="009B6834">
    <w:pPr>
      <w:pStyle w:val="Footer"/>
    </w:pPr>
  </w:p>
  <w:p w:rsidR="002F15BC" w:rsidRDefault="00990DEA" w:rsidP="002F15BC">
    <w:pPr>
      <w:pStyle w:val="Footer"/>
      <w:tabs>
        <w:tab w:val="left" w:pos="1985"/>
        <w:tab w:val="left" w:pos="4513"/>
      </w:tabs>
      <w:spacing w:after="20"/>
      <w:rPr>
        <w:rFonts w:cs="Arial"/>
        <w:color w:val="002060" w:themeColor="text2"/>
        <w:sz w:val="15"/>
        <w:szCs w:val="15"/>
      </w:rPr>
    </w:pPr>
    <w:r>
      <w:rPr>
        <w:noProof/>
        <w:lang w:eastAsia="en-GB"/>
      </w:rPr>
      <mc:AlternateContent>
        <mc:Choice Requires="wps">
          <w:drawing>
            <wp:anchor distT="0" distB="0" distL="114300" distR="114300" simplePos="0" relativeHeight="251695104" behindDoc="0" locked="0" layoutInCell="1" allowOverlap="1" wp14:anchorId="208CFB35" wp14:editId="5B8DE902">
              <wp:simplePos x="0" y="0"/>
              <wp:positionH relativeFrom="column">
                <wp:posOffset>-15240</wp:posOffset>
              </wp:positionH>
              <wp:positionV relativeFrom="paragraph">
                <wp:posOffset>25400</wp:posOffset>
              </wp:positionV>
              <wp:extent cx="612457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12457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line w14:anchorId="0568AC1E" id="Straight Connector 10"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2pt" to="481.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" strokecolor="#cda115 [3044]" strokeweight="1pt"/>
          </w:pict>
        </mc:Fallback>
      </mc:AlternateContent>
    </w:r>
  </w:p>
  <w:p w:rsidR="002F15BC" w:rsidRPr="002F15BC" w:rsidRDefault="002F15BC" w:rsidP="002F15BC">
    <w:pPr>
      <w:pStyle w:val="Footer"/>
      <w:tabs>
        <w:tab w:val="left" w:pos="1985"/>
        <w:tab w:val="left" w:pos="4513"/>
      </w:tabs>
      <w:spacing w:after="20"/>
      <w:jc w:val="right"/>
      <w:rPr>
        <w:rFonts w:cs="Arial"/>
        <w:b/>
        <w:bCs/>
        <w:color w:val="D9AB16" w:themeColor="accent1"/>
        <w:sz w:val="16"/>
        <w:szCs w:val="16"/>
      </w:rPr>
    </w:pPr>
    <w:r w:rsidRPr="002F15BC">
      <w:rPr>
        <w:rFonts w:cs="Arial"/>
        <w:b/>
        <w:bCs/>
        <w:color w:val="D9AB16" w:themeColor="accent1"/>
        <w:sz w:val="16"/>
        <w:szCs w:val="16"/>
      </w:rPr>
      <w:t>www.actuaries.org.uk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256" w:rsidRDefault="005E1256" w:rsidP="00B652E6">
      <w:pPr>
        <w:spacing w:after="0" w:line="240" w:lineRule="auto"/>
      </w:pPr>
      <w:r>
        <w:separator/>
      </w:r>
    </w:p>
  </w:footnote>
  <w:footnote w:type="continuationSeparator" w:id="0">
    <w:p w:rsidR="005E1256" w:rsidRDefault="005E1256" w:rsidP="00B652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22D" w:rsidRPr="0052522D" w:rsidRDefault="0052522D" w:rsidP="0052522D">
    <w:pPr>
      <w:pStyle w:val="Header"/>
    </w:pPr>
    <w:r>
      <w:ptab w:relativeTo="margin" w:alignment="lef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2E3" w:rsidRDefault="00990DEA" w:rsidP="0006274D">
    <w:pPr>
      <w:pStyle w:val="Header"/>
      <w:jc w:val="right"/>
    </w:pPr>
    <w:r>
      <w:rPr>
        <w:rFonts w:cs="Arial"/>
        <w:noProof/>
        <w:szCs w:val="20"/>
        <w:lang w:eastAsia="en-GB"/>
      </w:rPr>
      <mc:AlternateContent>
        <mc:Choice Requires="wps">
          <w:drawing>
            <wp:anchor distT="0" distB="0" distL="114300" distR="114300" simplePos="0" relativeHeight="251628544" behindDoc="0" locked="0" layoutInCell="1" allowOverlap="1" wp14:anchorId="6826AD22" wp14:editId="3D282969">
              <wp:simplePos x="0" y="0"/>
              <wp:positionH relativeFrom="page">
                <wp:posOffset>9525</wp:posOffset>
              </wp:positionH>
              <wp:positionV relativeFrom="paragraph">
                <wp:posOffset>-539750</wp:posOffset>
              </wp:positionV>
              <wp:extent cx="7534275" cy="3133725"/>
              <wp:effectExtent l="0" t="0" r="9525" b="9525"/>
              <wp:wrapNone/>
              <wp:docPr id="2" name="Rectangle 2"/>
              <wp:cNvGraphicFramePr/>
              <a:graphic xmlns:a="http://schemas.openxmlformats.org/drawingml/2006/main">
                <a:graphicData uri="http://schemas.microsoft.com/office/word/2010/wordprocessingShape">
                  <wps:wsp>
                    <wps:cNvSpPr/>
                    <wps:spPr>
                      <a:xfrm>
                        <a:off x="0" y="0"/>
                        <a:ext cx="7534275" cy="313372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59BC4DF9" id="Rectangle 2" o:spid="_x0000_s1026" style="position:absolute;margin-left:.75pt;margin-top:-42.5pt;width:593.25pt;height:246.7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" fillcolor="#002060 [3215]" stroked="f" strokeweight="2pt">
              <w10:wrap anchorx="page"/>
            </v:rect>
          </w:pict>
        </mc:Fallback>
      </mc:AlternateContent>
    </w:r>
    <w:r>
      <w:rPr>
        <w:rFonts w:cs="Arial"/>
        <w:noProof/>
        <w:lang w:eastAsia="en-GB"/>
      </w:rPr>
      <w:drawing>
        <wp:anchor distT="0" distB="0" distL="114300" distR="114300" simplePos="0" relativeHeight="251701248" behindDoc="0" locked="1" layoutInCell="1" allowOverlap="1" wp14:anchorId="551B7AB9">
          <wp:simplePos x="0" y="0"/>
          <wp:positionH relativeFrom="column">
            <wp:posOffset>-139065</wp:posOffset>
          </wp:positionH>
          <wp:positionV relativeFrom="page">
            <wp:posOffset>356235</wp:posOffset>
          </wp:positionV>
          <wp:extent cx="2337480" cy="960840"/>
          <wp:effectExtent l="0" t="0" r="571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7480" cy="9608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89984" behindDoc="0" locked="0" layoutInCell="1" allowOverlap="1" wp14:anchorId="4644498C" wp14:editId="066F4F50">
              <wp:simplePos x="0" y="0"/>
              <wp:positionH relativeFrom="column">
                <wp:posOffset>4899660</wp:posOffset>
              </wp:positionH>
              <wp:positionV relativeFrom="page">
                <wp:posOffset>1029970</wp:posOffset>
              </wp:positionV>
              <wp:extent cx="1247775" cy="295275"/>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12477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3178" w:rsidRDefault="00C96677" w:rsidP="00425D75">
                          <w:pPr>
                            <w:jc w:val="right"/>
                            <w:rPr>
                              <w:rFonts w:cs="Arial"/>
                              <w:b/>
                              <w:color w:val="FFFFFF" w:themeColor="background2"/>
                            </w:rPr>
                          </w:pPr>
                          <w:r>
                            <w:rPr>
                              <w:rFonts w:cs="Arial"/>
                              <w:b/>
                              <w:color w:val="FFFFFF" w:themeColor="background2"/>
                            </w:rPr>
                            <w:t>22nd</w:t>
                          </w:r>
                          <w:r w:rsidR="003A53DE">
                            <w:rPr>
                              <w:rFonts w:cs="Arial"/>
                              <w:b/>
                              <w:color w:val="FFFFFF" w:themeColor="background2"/>
                            </w:rPr>
                            <w:t xml:space="preserve"> </w:t>
                          </w:r>
                          <w:r>
                            <w:rPr>
                              <w:rFonts w:cs="Arial"/>
                              <w:b/>
                              <w:color w:val="FFFFFF" w:themeColor="background2"/>
                            </w:rPr>
                            <w:t>April</w:t>
                          </w:r>
                          <w:r w:rsidR="003A53DE">
                            <w:rPr>
                              <w:rFonts w:cs="Arial"/>
                              <w:b/>
                              <w:color w:val="FFFFFF" w:themeColor="background2"/>
                            </w:rPr>
                            <w:t xml:space="preserve"> 2021</w:t>
                          </w:r>
                        </w:p>
                        <w:p w:rsidR="00EE3178" w:rsidRPr="00EE3178" w:rsidRDefault="00EE3178" w:rsidP="00686676">
                          <w:pPr>
                            <w:rPr>
                              <w:rFonts w:cs="Arial"/>
                              <w:b/>
                              <w:color w:val="FFFFFF" w:themeColor="background2"/>
                            </w:rPr>
                          </w:pPr>
                        </w:p>
                        <w:p w:rsidR="00EE3178" w:rsidRPr="00686676" w:rsidRDefault="00EE3178">
                          <w:pPr>
                            <w:rPr>
                              <w:color w:val="FFFFFF" w:themeColor="background2"/>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44498C" id="_x0000_t202" coordsize="21600,21600" o:spt="202" path="m,l,21600r21600,l21600,xe">
              <v:stroke joinstyle="miter"/>
              <v:path gradientshapeok="t" o:connecttype="rect"/>
            </v:shapetype>
            <v:shape id="Text Box 7" o:spid="_x0000_s1028" type="#_x0000_t202" style="position:absolute;left:0;text-align:left;margin-left:385.8pt;margin-top:81.1pt;width:98.25pt;height:2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" filled="f" stroked="f" strokeweight=".5pt">
              <v:textbox inset="0,,0">
                <w:txbxContent>
                  <w:p w:rsidR="00EE3178" w:rsidRDefault="00C96677" w:rsidP="00425D75">
                    <w:pPr>
                      <w:jc w:val="right"/>
                      <w:rPr>
                        <w:rFonts w:cs="Arial"/>
                        <w:b/>
                        <w:color w:val="FFFFFF" w:themeColor="background2"/>
                      </w:rPr>
                    </w:pPr>
                    <w:r>
                      <w:rPr>
                        <w:rFonts w:cs="Arial"/>
                        <w:b/>
                        <w:color w:val="FFFFFF" w:themeColor="background2"/>
                      </w:rPr>
                      <w:t>22nd</w:t>
                    </w:r>
                    <w:r w:rsidR="003A53DE">
                      <w:rPr>
                        <w:rFonts w:cs="Arial"/>
                        <w:b/>
                        <w:color w:val="FFFFFF" w:themeColor="background2"/>
                      </w:rPr>
                      <w:t xml:space="preserve"> </w:t>
                    </w:r>
                    <w:r>
                      <w:rPr>
                        <w:rFonts w:cs="Arial"/>
                        <w:b/>
                        <w:color w:val="FFFFFF" w:themeColor="background2"/>
                      </w:rPr>
                      <w:t>April</w:t>
                    </w:r>
                    <w:r w:rsidR="003A53DE">
                      <w:rPr>
                        <w:rFonts w:cs="Arial"/>
                        <w:b/>
                        <w:color w:val="FFFFFF" w:themeColor="background2"/>
                      </w:rPr>
                      <w:t xml:space="preserve"> 2021</w:t>
                    </w:r>
                  </w:p>
                  <w:p w:rsidR="00EE3178" w:rsidRPr="00EE3178" w:rsidRDefault="00EE3178" w:rsidP="00686676">
                    <w:pPr>
                      <w:rPr>
                        <w:rFonts w:cs="Arial"/>
                        <w:b/>
                        <w:color w:val="FFFFFF" w:themeColor="background2"/>
                      </w:rPr>
                    </w:pPr>
                  </w:p>
                  <w:p w:rsidR="00EE3178" w:rsidRPr="00686676" w:rsidRDefault="00EE3178">
                    <w:pPr>
                      <w:rPr>
                        <w:color w:val="FFFFFF" w:themeColor="background2"/>
                      </w:rPr>
                    </w:pPr>
                  </w:p>
                </w:txbxContent>
              </v:textbox>
              <w10:wrap anchory="page"/>
            </v:shape>
          </w:pict>
        </mc:Fallback>
      </mc:AlternateContent>
    </w:r>
    <w:r w:rsidR="0006274D">
      <w:rPr>
        <w:rFonts w:cs="Arial"/>
        <w:b/>
        <w:szCs w:val="20"/>
      </w:rPr>
      <w:tab/>
    </w:r>
    <w:r w:rsidR="0006274D">
      <w:rPr>
        <w:rFonts w:cs="Arial"/>
        <w:b/>
        <w:szCs w:val="20"/>
      </w:rPr>
      <w:tab/>
    </w:r>
    <w:r w:rsidR="0006274D" w:rsidRPr="00153DBD">
      <w:rPr>
        <w:rFonts w:cs="Arial"/>
        <w:b/>
        <w:szCs w:val="20"/>
      </w:rPr>
      <w:tab/>
      <w:t xml:space="preserve"> </w:t>
    </w:r>
  </w:p>
  <w:p w:rsidR="009B6834" w:rsidRDefault="009B6834">
    <w:pPr>
      <w:pStyle w:val="Header"/>
    </w:pPr>
  </w:p>
  <w:p w:rsidR="009B6834" w:rsidRDefault="009B6834">
    <w:pPr>
      <w:pStyle w:val="Header"/>
    </w:pPr>
  </w:p>
  <w:p w:rsidR="009B6834" w:rsidRDefault="009B6834">
    <w:pPr>
      <w:pStyle w:val="Header"/>
    </w:pPr>
  </w:p>
  <w:p w:rsidR="009B6834" w:rsidRDefault="009B6834">
    <w:pPr>
      <w:pStyle w:val="Header"/>
    </w:pPr>
  </w:p>
  <w:p w:rsidR="009B6834" w:rsidRDefault="009B6834">
    <w:pPr>
      <w:pStyle w:val="Header"/>
    </w:pPr>
  </w:p>
  <w:p w:rsidR="009B6834" w:rsidRDefault="00584097">
    <w:pPr>
      <w:pStyle w:val="Header"/>
    </w:pPr>
    <w:r>
      <w:rPr>
        <w:noProof/>
        <w:lang w:eastAsia="en-GB"/>
      </w:rPr>
      <mc:AlternateContent>
        <mc:Choice Requires="wps">
          <w:drawing>
            <wp:anchor distT="0" distB="0" distL="114300" distR="114300" simplePos="0" relativeHeight="251676672" behindDoc="0" locked="0" layoutInCell="1" allowOverlap="1" wp14:anchorId="07E59F73" wp14:editId="3D01DB28">
              <wp:simplePos x="0" y="0"/>
              <wp:positionH relativeFrom="margin">
                <wp:posOffset>-15240</wp:posOffset>
              </wp:positionH>
              <wp:positionV relativeFrom="paragraph">
                <wp:posOffset>107950</wp:posOffset>
              </wp:positionV>
              <wp:extent cx="6017260" cy="752475"/>
              <wp:effectExtent l="0" t="0" r="2540" b="0"/>
              <wp:wrapNone/>
              <wp:docPr id="6" name="Text Box 6"/>
              <wp:cNvGraphicFramePr/>
              <a:graphic xmlns:a="http://schemas.openxmlformats.org/drawingml/2006/main">
                <a:graphicData uri="http://schemas.microsoft.com/office/word/2010/wordprocessingShape">
                  <wps:wsp>
                    <wps:cNvSpPr txBox="1"/>
                    <wps:spPr>
                      <a:xfrm>
                        <a:off x="0" y="0"/>
                        <a:ext cx="6017260"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96677" w:rsidRPr="00C96677" w:rsidRDefault="00C96677" w:rsidP="00C96677">
                          <w:pPr>
                            <w:rPr>
                              <w:rFonts w:cs="Arial"/>
                              <w:b/>
                              <w:bCs/>
                              <w:color w:val="FFFFFF" w:themeColor="background2"/>
                              <w:sz w:val="32"/>
                              <w:szCs w:val="32"/>
                            </w:rPr>
                          </w:pPr>
                          <w:r w:rsidRPr="00C96677">
                            <w:rPr>
                              <w:rFonts w:cs="Arial"/>
                              <w:b/>
                              <w:bCs/>
                              <w:color w:val="FFFFFF" w:themeColor="background2"/>
                              <w:sz w:val="32"/>
                              <w:szCs w:val="32"/>
                            </w:rPr>
                            <w:t>Consultation on TPR’s approach to the investigation and prosecution of the new criminal offences</w:t>
                          </w:r>
                        </w:p>
                        <w:p w:rsidR="00EE3178" w:rsidRPr="00686676" w:rsidRDefault="00EE3178">
                          <w:pPr>
                            <w:rPr>
                              <w:color w:val="FFFFFF" w:themeColor="background2"/>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59F73" id="Text Box 6" o:spid="_x0000_s1029" type="#_x0000_t202" style="position:absolute;margin-left:-1.2pt;margin-top:8.5pt;width:473.8pt;height:59.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" filled="f" stroked="f" strokeweight=".5pt">
              <v:textbox inset="0,,0">
                <w:txbxContent>
                  <w:p w:rsidR="00C96677" w:rsidRPr="00C96677" w:rsidRDefault="00C96677" w:rsidP="00C96677">
                    <w:pPr>
                      <w:rPr>
                        <w:rFonts w:cs="Arial"/>
                        <w:b/>
                        <w:bCs/>
                        <w:color w:val="FFFFFF" w:themeColor="background2"/>
                        <w:sz w:val="32"/>
                        <w:szCs w:val="32"/>
                      </w:rPr>
                    </w:pPr>
                    <w:r w:rsidRPr="00C96677">
                      <w:rPr>
                        <w:rFonts w:cs="Arial"/>
                        <w:b/>
                        <w:bCs/>
                        <w:color w:val="FFFFFF" w:themeColor="background2"/>
                        <w:sz w:val="32"/>
                        <w:szCs w:val="32"/>
                      </w:rPr>
                      <w:t>Consultation on TPR’s approach to the investigation and prosecution of the new criminal offences</w:t>
                    </w:r>
                  </w:p>
                  <w:p w:rsidR="00EE3178" w:rsidRPr="00686676" w:rsidRDefault="00EE3178">
                    <w:pPr>
                      <w:rPr>
                        <w:color w:val="FFFFFF" w:themeColor="background2"/>
                      </w:rPr>
                    </w:pPr>
                  </w:p>
                </w:txbxContent>
              </v:textbox>
              <w10:wrap anchorx="margin"/>
            </v:shape>
          </w:pict>
        </mc:Fallback>
      </mc:AlternateContent>
    </w:r>
  </w:p>
  <w:p w:rsidR="00D84325" w:rsidRDefault="00D84325">
    <w:pPr>
      <w:pStyle w:val="Header"/>
    </w:pPr>
  </w:p>
  <w:p w:rsidR="00D84325" w:rsidRDefault="00D84325">
    <w:pPr>
      <w:pStyle w:val="Header"/>
    </w:pPr>
  </w:p>
  <w:p w:rsidR="00686676" w:rsidRDefault="00990DEA">
    <w:pPr>
      <w:pStyle w:val="Header"/>
    </w:pPr>
    <w:r>
      <w:rPr>
        <w:noProof/>
        <w:lang w:eastAsia="en-GB"/>
      </w:rPr>
      <mc:AlternateContent>
        <mc:Choice Requires="wps">
          <w:drawing>
            <wp:anchor distT="0" distB="0" distL="114300" distR="114300" simplePos="0" relativeHeight="251652096" behindDoc="0" locked="0" layoutInCell="1" allowOverlap="1" wp14:anchorId="529F9772" wp14:editId="7611A27D">
              <wp:simplePos x="0" y="0"/>
              <wp:positionH relativeFrom="margin">
                <wp:posOffset>-5716</wp:posOffset>
              </wp:positionH>
              <wp:positionV relativeFrom="paragraph">
                <wp:posOffset>469900</wp:posOffset>
              </wp:positionV>
              <wp:extent cx="6257925" cy="7620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6257925" cy="76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6676" w:rsidRPr="00EE3178" w:rsidRDefault="00686676" w:rsidP="00686676">
                          <w:pPr>
                            <w:rPr>
                              <w:rFonts w:cs="Arial"/>
                              <w:color w:val="FFFFFF" w:themeColor="background2"/>
                              <w:sz w:val="18"/>
                            </w:rPr>
                          </w:pPr>
                          <w:r w:rsidRPr="00EE3178">
                            <w:rPr>
                              <w:rFonts w:cs="Arial"/>
                              <w:color w:val="FFFFFF" w:themeColor="background2"/>
                              <w:sz w:val="18"/>
                            </w:rPr>
                            <w:t xml:space="preserve">The Institute and Faculty of Actuaries (IFoA) is a royal chartered, not-for-profit, professional body. We represent and regulate over 32,000 actuaries worldwide, and oversee their education at all stages of qualification and development throughout their careers.  </w:t>
                          </w:r>
                        </w:p>
                        <w:p w:rsidR="00686676" w:rsidRPr="00686676" w:rsidRDefault="00686676">
                          <w:pPr>
                            <w:rPr>
                              <w:color w:val="FFFFFF" w:themeColor="background2"/>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F9772" id="Text Box 3" o:spid="_x0000_s1030" type="#_x0000_t202" style="position:absolute;margin-left:-.45pt;margin-top:37pt;width:492.75pt;height:60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" filled="f" stroked="f" strokeweight=".5pt">
              <v:textbox inset="0,,0">
                <w:txbxContent>
                  <w:p w:rsidR="00686676" w:rsidRPr="00EE3178" w:rsidRDefault="00686676" w:rsidP="00686676">
                    <w:pPr>
                      <w:rPr>
                        <w:rFonts w:cs="Arial"/>
                        <w:color w:val="FFFFFF" w:themeColor="background2"/>
                        <w:sz w:val="18"/>
                      </w:rPr>
                    </w:pPr>
                    <w:r w:rsidRPr="00EE3178">
                      <w:rPr>
                        <w:rFonts w:cs="Arial"/>
                        <w:color w:val="FFFFFF" w:themeColor="background2"/>
                        <w:sz w:val="18"/>
                      </w:rPr>
                      <w:t xml:space="preserve">The Institute and Faculty of Actuaries (IFoA) is a royal chartered, not-for-profit, professional body. We represent and regulate over 32,000 actuaries worldwide, and oversee their education at all stages of qualification and development throughout their careers.  </w:t>
                    </w:r>
                  </w:p>
                  <w:p w:rsidR="00686676" w:rsidRPr="00686676" w:rsidRDefault="00686676">
                    <w:pPr>
                      <w:rPr>
                        <w:color w:val="FFFFFF" w:themeColor="background2"/>
                      </w:rPr>
                    </w:pP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C32E4"/>
    <w:multiLevelType w:val="hybridMultilevel"/>
    <w:tmpl w:val="0EDC6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154DD"/>
    <w:multiLevelType w:val="hybridMultilevel"/>
    <w:tmpl w:val="C4C06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BC040D"/>
    <w:multiLevelType w:val="hybridMultilevel"/>
    <w:tmpl w:val="24EE0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DE6F88"/>
    <w:multiLevelType w:val="hybridMultilevel"/>
    <w:tmpl w:val="0D3AE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452926"/>
    <w:multiLevelType w:val="hybridMultilevel"/>
    <w:tmpl w:val="84ECE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F76262"/>
    <w:multiLevelType w:val="hybridMultilevel"/>
    <w:tmpl w:val="0F3856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083973"/>
    <w:multiLevelType w:val="hybridMultilevel"/>
    <w:tmpl w:val="B0A06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5D24CA"/>
    <w:multiLevelType w:val="hybridMultilevel"/>
    <w:tmpl w:val="28A0D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5"/>
  </w:num>
  <w:num w:numId="5">
    <w:abstractNumId w:val="3"/>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3DE"/>
    <w:rsid w:val="0006274D"/>
    <w:rsid w:val="000645F1"/>
    <w:rsid w:val="00083DBE"/>
    <w:rsid w:val="000C4679"/>
    <w:rsid w:val="000D513E"/>
    <w:rsid w:val="00153B71"/>
    <w:rsid w:val="00190F29"/>
    <w:rsid w:val="001A4766"/>
    <w:rsid w:val="001A7B29"/>
    <w:rsid w:val="001D1BD8"/>
    <w:rsid w:val="002F15BC"/>
    <w:rsid w:val="00334CF1"/>
    <w:rsid w:val="00343242"/>
    <w:rsid w:val="00357CF6"/>
    <w:rsid w:val="003A53DE"/>
    <w:rsid w:val="003F5BB9"/>
    <w:rsid w:val="0041487D"/>
    <w:rsid w:val="00425D75"/>
    <w:rsid w:val="004802E3"/>
    <w:rsid w:val="00487614"/>
    <w:rsid w:val="004F03AB"/>
    <w:rsid w:val="004F61CD"/>
    <w:rsid w:val="0051360A"/>
    <w:rsid w:val="005161BD"/>
    <w:rsid w:val="0052522D"/>
    <w:rsid w:val="00550C49"/>
    <w:rsid w:val="0056607A"/>
    <w:rsid w:val="00584097"/>
    <w:rsid w:val="005E1256"/>
    <w:rsid w:val="005F7F8F"/>
    <w:rsid w:val="00686676"/>
    <w:rsid w:val="006F43DF"/>
    <w:rsid w:val="00734464"/>
    <w:rsid w:val="007422A6"/>
    <w:rsid w:val="00751F11"/>
    <w:rsid w:val="00791DB6"/>
    <w:rsid w:val="007A73D0"/>
    <w:rsid w:val="007E5E97"/>
    <w:rsid w:val="007F66C8"/>
    <w:rsid w:val="008C5C16"/>
    <w:rsid w:val="008D1CAA"/>
    <w:rsid w:val="00957071"/>
    <w:rsid w:val="009756E6"/>
    <w:rsid w:val="00990DEA"/>
    <w:rsid w:val="009A4073"/>
    <w:rsid w:val="009B6834"/>
    <w:rsid w:val="009C18D3"/>
    <w:rsid w:val="009C6C32"/>
    <w:rsid w:val="009D752A"/>
    <w:rsid w:val="009E040D"/>
    <w:rsid w:val="00A07A37"/>
    <w:rsid w:val="00A07F65"/>
    <w:rsid w:val="00A24D33"/>
    <w:rsid w:val="00A31E1B"/>
    <w:rsid w:val="00B077AC"/>
    <w:rsid w:val="00B24A17"/>
    <w:rsid w:val="00B5381E"/>
    <w:rsid w:val="00B652E6"/>
    <w:rsid w:val="00B7544F"/>
    <w:rsid w:val="00B76CF7"/>
    <w:rsid w:val="00B82E07"/>
    <w:rsid w:val="00BC52F2"/>
    <w:rsid w:val="00BD4FE2"/>
    <w:rsid w:val="00C24441"/>
    <w:rsid w:val="00C62579"/>
    <w:rsid w:val="00C96677"/>
    <w:rsid w:val="00CA62E3"/>
    <w:rsid w:val="00CC3498"/>
    <w:rsid w:val="00CF69E6"/>
    <w:rsid w:val="00D051BE"/>
    <w:rsid w:val="00D15B52"/>
    <w:rsid w:val="00D80AFE"/>
    <w:rsid w:val="00D84325"/>
    <w:rsid w:val="00DD44E3"/>
    <w:rsid w:val="00E809E4"/>
    <w:rsid w:val="00EE3178"/>
    <w:rsid w:val="00F01DF4"/>
    <w:rsid w:val="00F3196D"/>
    <w:rsid w:val="00F414A4"/>
    <w:rsid w:val="00F8277A"/>
    <w:rsid w:val="00F94936"/>
    <w:rsid w:val="00FD2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1387BB8-AAB2-44E3-B5F9-BEFA67DDF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C32"/>
    <w:rPr>
      <w:rFonts w:ascii="Arial" w:hAnsi="Arial"/>
      <w:color w:val="3F4548" w:themeColor="text1"/>
      <w:sz w:val="20"/>
    </w:rPr>
  </w:style>
  <w:style w:type="paragraph" w:styleId="Heading1">
    <w:name w:val="heading 1"/>
    <w:basedOn w:val="Normal"/>
    <w:next w:val="Normal"/>
    <w:link w:val="Heading1Char"/>
    <w:uiPriority w:val="9"/>
    <w:qFormat/>
    <w:rsid w:val="009C6C32"/>
    <w:pPr>
      <w:keepNext/>
      <w:keepLines/>
      <w:spacing w:before="240" w:after="0"/>
      <w:outlineLvl w:val="0"/>
    </w:pPr>
    <w:rPr>
      <w:rFonts w:eastAsiaTheme="majorEastAsia" w:cstheme="majorBidi"/>
      <w:color w:val="A27F10" w:themeColor="accent1" w:themeShade="BF"/>
      <w:sz w:val="32"/>
      <w:szCs w:val="32"/>
    </w:rPr>
  </w:style>
  <w:style w:type="paragraph" w:styleId="Heading2">
    <w:name w:val="heading 2"/>
    <w:basedOn w:val="Normal"/>
    <w:next w:val="Normal"/>
    <w:link w:val="Heading2Char"/>
    <w:uiPriority w:val="9"/>
    <w:unhideWhenUsed/>
    <w:qFormat/>
    <w:rsid w:val="009C6C32"/>
    <w:pPr>
      <w:keepNext/>
      <w:keepLines/>
      <w:spacing w:before="40" w:after="0"/>
      <w:outlineLvl w:val="1"/>
    </w:pPr>
    <w:rPr>
      <w:rFonts w:eastAsiaTheme="majorEastAsia" w:cstheme="majorBidi"/>
      <w:b/>
      <w:color w:val="A27F10" w:themeColor="accent1" w:themeShade="BF"/>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2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2E6"/>
    <w:rPr>
      <w:rFonts w:ascii="Tahoma" w:hAnsi="Tahoma" w:cs="Tahoma"/>
      <w:sz w:val="16"/>
      <w:szCs w:val="16"/>
    </w:rPr>
  </w:style>
  <w:style w:type="paragraph" w:styleId="Header">
    <w:name w:val="header"/>
    <w:basedOn w:val="Normal"/>
    <w:link w:val="HeaderChar"/>
    <w:uiPriority w:val="99"/>
    <w:unhideWhenUsed/>
    <w:rsid w:val="00B652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2E6"/>
  </w:style>
  <w:style w:type="paragraph" w:styleId="Footer">
    <w:name w:val="footer"/>
    <w:basedOn w:val="Normal"/>
    <w:link w:val="FooterChar"/>
    <w:uiPriority w:val="99"/>
    <w:unhideWhenUsed/>
    <w:rsid w:val="00B652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2E6"/>
  </w:style>
  <w:style w:type="paragraph" w:customStyle="1" w:styleId="Addressdetails">
    <w:name w:val="Address_details"/>
    <w:basedOn w:val="Normal"/>
    <w:rsid w:val="00CA62E3"/>
    <w:pPr>
      <w:framePr w:w="3686" w:wrap="around" w:vAnchor="page" w:hAnchor="page" w:x="1135" w:y="2751" w:anchorLock="1"/>
      <w:spacing w:after="0" w:line="250" w:lineRule="exact"/>
    </w:pPr>
    <w:rPr>
      <w:sz w:val="19"/>
      <w:szCs w:val="17"/>
      <w:lang w:val="en-US"/>
    </w:rPr>
  </w:style>
  <w:style w:type="paragraph" w:customStyle="1" w:styleId="Datedetails">
    <w:name w:val="Date_details"/>
    <w:basedOn w:val="Normal"/>
    <w:rsid w:val="00CA62E3"/>
    <w:pPr>
      <w:framePr w:w="3515" w:wrap="around" w:vAnchor="page" w:hAnchor="page" w:x="7259" w:y="2751" w:anchorLock="1"/>
      <w:spacing w:after="0" w:line="250" w:lineRule="exact"/>
      <w:jc w:val="right"/>
    </w:pPr>
    <w:rPr>
      <w:sz w:val="19"/>
      <w:szCs w:val="17"/>
      <w:lang w:val="en-US"/>
    </w:rPr>
  </w:style>
  <w:style w:type="paragraph" w:styleId="ListParagraph">
    <w:name w:val="List Paragraph"/>
    <w:basedOn w:val="Normal"/>
    <w:uiPriority w:val="34"/>
    <w:qFormat/>
    <w:rsid w:val="0006274D"/>
    <w:pPr>
      <w:ind w:left="720"/>
      <w:contextualSpacing/>
    </w:pPr>
  </w:style>
  <w:style w:type="character" w:styleId="Hyperlink">
    <w:name w:val="Hyperlink"/>
    <w:basedOn w:val="DefaultParagraphFont"/>
    <w:uiPriority w:val="99"/>
    <w:unhideWhenUsed/>
    <w:rsid w:val="004802E3"/>
    <w:rPr>
      <w:color w:val="3F4548" w:themeColor="hyperlink"/>
      <w:u w:val="single"/>
    </w:rPr>
  </w:style>
  <w:style w:type="character" w:customStyle="1" w:styleId="Heading1Char">
    <w:name w:val="Heading 1 Char"/>
    <w:basedOn w:val="DefaultParagraphFont"/>
    <w:link w:val="Heading1"/>
    <w:uiPriority w:val="9"/>
    <w:rsid w:val="009C6C32"/>
    <w:rPr>
      <w:rFonts w:ascii="Arial" w:eastAsiaTheme="majorEastAsia" w:hAnsi="Arial" w:cstheme="majorBidi"/>
      <w:color w:val="A27F10" w:themeColor="accent1" w:themeShade="BF"/>
      <w:sz w:val="32"/>
      <w:szCs w:val="32"/>
    </w:rPr>
  </w:style>
  <w:style w:type="character" w:customStyle="1" w:styleId="Heading2Char">
    <w:name w:val="Heading 2 Char"/>
    <w:basedOn w:val="DefaultParagraphFont"/>
    <w:link w:val="Heading2"/>
    <w:uiPriority w:val="9"/>
    <w:rsid w:val="009C6C32"/>
    <w:rPr>
      <w:rFonts w:ascii="Arial" w:eastAsiaTheme="majorEastAsia" w:hAnsi="Arial" w:cstheme="majorBidi"/>
      <w:b/>
      <w:color w:val="A27F10" w:themeColor="accent1" w:themeShade="BF"/>
      <w:sz w:val="24"/>
      <w:szCs w:val="26"/>
    </w:rPr>
  </w:style>
  <w:style w:type="paragraph" w:styleId="Title">
    <w:name w:val="Title"/>
    <w:basedOn w:val="Normal"/>
    <w:next w:val="Normal"/>
    <w:link w:val="TitleChar"/>
    <w:autoRedefine/>
    <w:uiPriority w:val="10"/>
    <w:qFormat/>
    <w:rsid w:val="009C6C32"/>
    <w:pPr>
      <w:spacing w:after="0" w:line="240" w:lineRule="auto"/>
      <w:contextualSpacing/>
    </w:pPr>
    <w:rPr>
      <w:rFonts w:eastAsiaTheme="majorEastAsia" w:cstheme="majorBidi"/>
      <w:color w:val="002060" w:themeColor="text2"/>
      <w:spacing w:val="-10"/>
      <w:kern w:val="28"/>
      <w:sz w:val="56"/>
      <w:szCs w:val="56"/>
    </w:rPr>
  </w:style>
  <w:style w:type="character" w:customStyle="1" w:styleId="TitleChar">
    <w:name w:val="Title Char"/>
    <w:basedOn w:val="DefaultParagraphFont"/>
    <w:link w:val="Title"/>
    <w:uiPriority w:val="10"/>
    <w:rsid w:val="009C6C32"/>
    <w:rPr>
      <w:rFonts w:ascii="Arial" w:eastAsiaTheme="majorEastAsia" w:hAnsi="Arial" w:cstheme="majorBidi"/>
      <w:color w:val="002060" w:themeColor="text2"/>
      <w:spacing w:val="-10"/>
      <w:kern w:val="28"/>
      <w:sz w:val="56"/>
      <w:szCs w:val="56"/>
    </w:rPr>
  </w:style>
  <w:style w:type="paragraph" w:styleId="Subtitle">
    <w:name w:val="Subtitle"/>
    <w:basedOn w:val="Normal"/>
    <w:next w:val="Normal"/>
    <w:link w:val="SubtitleChar"/>
    <w:uiPriority w:val="11"/>
    <w:qFormat/>
    <w:rsid w:val="009C6C32"/>
    <w:pPr>
      <w:numPr>
        <w:ilvl w:val="1"/>
      </w:numPr>
      <w:spacing w:after="160"/>
    </w:pPr>
    <w:rPr>
      <w:rFonts w:eastAsiaTheme="minorEastAsia"/>
      <w:b/>
      <w:color w:val="7D888D" w:themeColor="text1" w:themeTint="A5"/>
    </w:rPr>
  </w:style>
  <w:style w:type="character" w:customStyle="1" w:styleId="SubtitleChar">
    <w:name w:val="Subtitle Char"/>
    <w:basedOn w:val="DefaultParagraphFont"/>
    <w:link w:val="Subtitle"/>
    <w:uiPriority w:val="11"/>
    <w:rsid w:val="009C6C32"/>
    <w:rPr>
      <w:rFonts w:ascii="Arial" w:eastAsiaTheme="minorEastAsia" w:hAnsi="Arial"/>
      <w:b/>
      <w:color w:val="7D888D" w:themeColor="text1" w:themeTint="A5"/>
      <w:sz w:val="20"/>
    </w:rPr>
  </w:style>
  <w:style w:type="paragraph" w:customStyle="1" w:styleId="Default">
    <w:name w:val="Default"/>
    <w:rsid w:val="003A53D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134937">
      <w:bodyDiv w:val="1"/>
      <w:marLeft w:val="0"/>
      <w:marRight w:val="0"/>
      <w:marTop w:val="0"/>
      <w:marBottom w:val="0"/>
      <w:divBdr>
        <w:top w:val="none" w:sz="0" w:space="0" w:color="auto"/>
        <w:left w:val="none" w:sz="0" w:space="0" w:color="auto"/>
        <w:bottom w:val="none" w:sz="0" w:space="0" w:color="auto"/>
        <w:right w:val="none" w:sz="0" w:space="0" w:color="auto"/>
      </w:divBdr>
    </w:div>
    <w:div w:id="1129543744">
      <w:bodyDiv w:val="1"/>
      <w:marLeft w:val="0"/>
      <w:marRight w:val="0"/>
      <w:marTop w:val="0"/>
      <w:marBottom w:val="0"/>
      <w:divBdr>
        <w:top w:val="none" w:sz="0" w:space="0" w:color="auto"/>
        <w:left w:val="none" w:sz="0" w:space="0" w:color="auto"/>
        <w:bottom w:val="none" w:sz="0" w:space="0" w:color="auto"/>
        <w:right w:val="none" w:sz="0" w:space="0" w:color="auto"/>
      </w:divBdr>
    </w:div>
    <w:div w:id="163899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olan.ward@actuaries.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ifoa generic 01">
      <a:dk1>
        <a:srgbClr val="3F4548"/>
      </a:dk1>
      <a:lt1>
        <a:sysClr val="window" lastClr="FFFFFF"/>
      </a:lt1>
      <a:dk2>
        <a:srgbClr val="002060"/>
      </a:dk2>
      <a:lt2>
        <a:srgbClr val="FFFFFF"/>
      </a:lt2>
      <a:accent1>
        <a:srgbClr val="D9AB16"/>
      </a:accent1>
      <a:accent2>
        <a:srgbClr val="113458"/>
      </a:accent2>
      <a:accent3>
        <a:srgbClr val="4096B8"/>
      </a:accent3>
      <a:accent4>
        <a:srgbClr val="8076CF"/>
      </a:accent4>
      <a:accent5>
        <a:srgbClr val="11B3A2"/>
      </a:accent5>
      <a:accent6>
        <a:srgbClr val="7CB3E1"/>
      </a:accent6>
      <a:hlink>
        <a:srgbClr val="3F4548"/>
      </a:hlink>
      <a:folHlink>
        <a:srgbClr val="3F454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A9D80AF541634F88090DB549522CB9" ma:contentTypeVersion="1" ma:contentTypeDescription="Create a new document." ma:contentTypeScope="" ma:versionID="be7ea43377f7a82dc2d06363e000d1ab">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C364B-592E-4B1A-87EE-58196E0B967D}">
  <ds:schemaRef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15B2E54-8E70-44E0-A767-B58791985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4406EDA-9DEF-4D02-A2E8-5948471E5820}">
  <ds:schemaRefs>
    <ds:schemaRef ds:uri="http://schemas.microsoft.com/sharepoint/v3/contenttype/forms"/>
  </ds:schemaRefs>
</ds:datastoreItem>
</file>

<file path=customXml/itemProps4.xml><?xml version="1.0" encoding="utf-8"?>
<ds:datastoreItem xmlns:ds="http://schemas.openxmlformats.org/officeDocument/2006/customXml" ds:itemID="{DE4F263A-79E8-4E88-8F63-63EAC589E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1871</Words>
  <Characters>10669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IFoA</Company>
  <LinksUpToDate>false</LinksUpToDate>
  <CharactersWithSpaces>12515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Caolan Ward</dc:creator>
  <cp:lastModifiedBy>Caolan Ward</cp:lastModifiedBy>
  <cp:revision>2</cp:revision>
  <cp:lastPrinted>2012-12-17T18:03:00Z</cp:lastPrinted>
  <dcterms:created xsi:type="dcterms:W3CDTF">2021-04-22T16:05:00Z</dcterms:created>
  <dcterms:modified xsi:type="dcterms:W3CDTF">2021-04-22T16:05:00Z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0x01010065A9D80AF541634F88090DB549522CB9</vt:lpwstr>
  </property>
</Properties>
</file>