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6867C" w14:textId="66894CB5" w:rsidR="00A976AE" w:rsidRPr="00864398" w:rsidRDefault="00A976AE" w:rsidP="00A976AE">
      <w:pPr>
        <w:rPr>
          <w:b/>
        </w:rPr>
      </w:pPr>
      <w:r w:rsidRPr="00864398">
        <w:rPr>
          <w:b/>
        </w:rPr>
        <w:t xml:space="preserve">IFRS 17 – impact </w:t>
      </w:r>
      <w:r w:rsidR="00EE141D" w:rsidRPr="00864398">
        <w:rPr>
          <w:b/>
        </w:rPr>
        <w:t xml:space="preserve">on </w:t>
      </w:r>
      <w:r w:rsidR="008B18D1" w:rsidRPr="00864398">
        <w:rPr>
          <w:b/>
        </w:rPr>
        <w:t>UK annuity business</w:t>
      </w:r>
    </w:p>
    <w:p w14:paraId="5E84D4A6" w14:textId="3DEA7E12" w:rsidR="007C7665" w:rsidRPr="00B8232C" w:rsidRDefault="006B4ABF">
      <w:r w:rsidRPr="00B8232C">
        <w:t xml:space="preserve">This article </w:t>
      </w:r>
      <w:r w:rsidR="00B8232C">
        <w:t xml:space="preserve">from the </w:t>
      </w:r>
      <w:r w:rsidR="00B8232C" w:rsidRPr="00A21137">
        <w:t xml:space="preserve">IFRS 17: Transversal </w:t>
      </w:r>
      <w:r w:rsidR="00B8232C">
        <w:t>w</w:t>
      </w:r>
      <w:r w:rsidR="00B8232C" w:rsidRPr="00A21137">
        <w:t xml:space="preserve">orking </w:t>
      </w:r>
      <w:r w:rsidR="00B8232C">
        <w:t>p</w:t>
      </w:r>
      <w:r w:rsidR="00B8232C" w:rsidRPr="00A21137">
        <w:t>arty</w:t>
      </w:r>
      <w:r w:rsidR="00B8232C" w:rsidRPr="00D719C2">
        <w:t xml:space="preserve"> </w:t>
      </w:r>
      <w:r w:rsidRPr="00B8232C">
        <w:t xml:space="preserve">introduces some key issues </w:t>
      </w:r>
      <w:r w:rsidR="002E0AB5" w:rsidRPr="00B8232C">
        <w:t xml:space="preserve">insurers may face when implementing </w:t>
      </w:r>
      <w:r w:rsidRPr="00B8232C">
        <w:t>IFRS 17</w:t>
      </w:r>
      <w:r w:rsidR="002E0AB5" w:rsidRPr="00B8232C">
        <w:t xml:space="preserve"> for annuity business.  The working party intends to explore </w:t>
      </w:r>
      <w:r w:rsidR="007C7665" w:rsidRPr="00B8232C">
        <w:t xml:space="preserve">some of these issues more deeply over the coming months and would be happy to receive feedback from members on topics of particular interest. </w:t>
      </w:r>
      <w:r w:rsidRPr="00B8232C">
        <w:t xml:space="preserve"> </w:t>
      </w:r>
    </w:p>
    <w:p w14:paraId="07EC0C63" w14:textId="77777777" w:rsidR="00B8232C" w:rsidRPr="00B8232C" w:rsidRDefault="00B8232C" w:rsidP="00B8232C">
      <w:pPr>
        <w:jc w:val="both"/>
        <w:rPr>
          <w:rFonts w:ascii="Calibri" w:eastAsia="Calibri" w:hAnsi="Calibri" w:cs="Times New Roman"/>
          <w:b/>
        </w:rPr>
      </w:pPr>
      <w:r w:rsidRPr="00B8232C">
        <w:rPr>
          <w:rFonts w:ascii="Calibri" w:eastAsia="Calibri" w:hAnsi="Calibri" w:cs="Times New Roman"/>
          <w:b/>
        </w:rPr>
        <w:t>Requirements of the standard</w:t>
      </w:r>
    </w:p>
    <w:p w14:paraId="10622428" w14:textId="7F5EA226" w:rsidR="009C7302" w:rsidRPr="00B8232C" w:rsidRDefault="00A976AE">
      <w:r w:rsidRPr="00B8232C">
        <w:t xml:space="preserve">Annuities </w:t>
      </w:r>
      <w:r w:rsidR="009B0BC3" w:rsidRPr="00B8232C">
        <w:t xml:space="preserve">provide a good illustration </w:t>
      </w:r>
      <w:r w:rsidRPr="00B8232C">
        <w:t>of the aims of IFRS 17.  Under</w:t>
      </w:r>
      <w:r w:rsidR="009B0BC3" w:rsidRPr="00B8232C">
        <w:t xml:space="preserve"> the</w:t>
      </w:r>
      <w:r w:rsidRPr="00B8232C">
        <w:t xml:space="preserve"> current reporting framework</w:t>
      </w:r>
      <w:r w:rsidR="009B0BC3" w:rsidRPr="00B8232C">
        <w:t xml:space="preserve"> in the UK</w:t>
      </w:r>
      <w:r w:rsidRPr="00B8232C">
        <w:t>, any part of the premium not considered necessary to support</w:t>
      </w:r>
      <w:r w:rsidR="004F4DAC" w:rsidRPr="00B8232C">
        <w:t xml:space="preserve"> the</w:t>
      </w:r>
      <w:r w:rsidRPr="00B8232C">
        <w:t xml:space="preserve"> fulfilment of the contract is reported as profit at the </w:t>
      </w:r>
      <w:r w:rsidR="003C2B48" w:rsidRPr="00B8232C">
        <w:t>date</w:t>
      </w:r>
      <w:r w:rsidRPr="00B8232C">
        <w:t xml:space="preserve"> of sale.  IFRS 17 prohibits this approach, instead requiring the profit to be recognised in line with </w:t>
      </w:r>
      <w:r w:rsidR="008B18D1" w:rsidRPr="00B8232C">
        <w:t xml:space="preserve">the </w:t>
      </w:r>
      <w:r w:rsidRPr="00B8232C">
        <w:t>service provided under the contract.</w:t>
      </w:r>
      <w:r w:rsidR="00C77D21" w:rsidRPr="00B8232C">
        <w:t xml:space="preserve">  Th</w:t>
      </w:r>
      <w:r w:rsidR="00BA383C" w:rsidRPr="00B8232C">
        <w:t>is</w:t>
      </w:r>
      <w:r w:rsidR="00C77D21" w:rsidRPr="00B8232C">
        <w:t xml:space="preserve"> profit deferral is achieved by establishing a </w:t>
      </w:r>
      <w:r w:rsidR="00BA383C" w:rsidRPr="00B8232C">
        <w:t>C</w:t>
      </w:r>
      <w:r w:rsidR="00C77D21" w:rsidRPr="00B8232C">
        <w:t xml:space="preserve">ontractual </w:t>
      </w:r>
      <w:r w:rsidR="00BA383C" w:rsidRPr="00B8232C">
        <w:t>S</w:t>
      </w:r>
      <w:r w:rsidR="00C77D21" w:rsidRPr="00B8232C">
        <w:t xml:space="preserve">ervice </w:t>
      </w:r>
      <w:r w:rsidR="00BA383C" w:rsidRPr="00B8232C">
        <w:t>M</w:t>
      </w:r>
      <w:r w:rsidR="00C77D21" w:rsidRPr="00B8232C">
        <w:t>argin (</w:t>
      </w:r>
      <w:r w:rsidR="00013E9C">
        <w:t>“</w:t>
      </w:r>
      <w:r w:rsidR="00C77D21" w:rsidRPr="00B8232C">
        <w:t>CSM</w:t>
      </w:r>
      <w:r w:rsidR="00013E9C">
        <w:t>”</w:t>
      </w:r>
      <w:r w:rsidR="00C77D21" w:rsidRPr="00B8232C">
        <w:t>) for each group of contracts.</w:t>
      </w:r>
    </w:p>
    <w:p w14:paraId="0ED37FF4" w14:textId="0AE100C3" w:rsidR="00D6646B" w:rsidRPr="00D6646B" w:rsidRDefault="00D6646B" w:rsidP="00D6646B">
      <w:r w:rsidRPr="00D6646B">
        <w:t xml:space="preserve">There are </w:t>
      </w:r>
      <w:r>
        <w:t xml:space="preserve">several </w:t>
      </w:r>
      <w:r w:rsidRPr="00D6646B">
        <w:t xml:space="preserve">technical and operational </w:t>
      </w:r>
      <w:r>
        <w:t xml:space="preserve">questions </w:t>
      </w:r>
      <w:r w:rsidRPr="00D6646B">
        <w:t xml:space="preserve">introduced by the standard regarding its application to </w:t>
      </w:r>
      <w:r>
        <w:t>annuity</w:t>
      </w:r>
      <w:r w:rsidRPr="00D6646B">
        <w:t xml:space="preserve"> business.  A few of the key issues are discussed in more detail below:</w:t>
      </w:r>
    </w:p>
    <w:p w14:paraId="445F31B6" w14:textId="77777777" w:rsidR="00BD7E2A" w:rsidRPr="009E4065" w:rsidRDefault="00233000" w:rsidP="009E4065">
      <w:pPr>
        <w:jc w:val="both"/>
        <w:rPr>
          <w:rFonts w:ascii="Calibri" w:eastAsia="Calibri" w:hAnsi="Calibri" w:cs="Times New Roman"/>
          <w:b/>
        </w:rPr>
      </w:pPr>
      <w:r w:rsidRPr="009E4065">
        <w:rPr>
          <w:rFonts w:ascii="Calibri" w:eastAsia="Calibri" w:hAnsi="Calibri" w:cs="Times New Roman"/>
          <w:b/>
        </w:rPr>
        <w:t>Day 1 profit</w:t>
      </w:r>
    </w:p>
    <w:p w14:paraId="1021DFFA" w14:textId="48E584B1" w:rsidR="001F4BBB" w:rsidRPr="00B8232C" w:rsidRDefault="003C2B48">
      <w:r w:rsidRPr="00B8232C">
        <w:t xml:space="preserve">The profit to be deferred </w:t>
      </w:r>
      <w:r w:rsidR="00616BFC" w:rsidRPr="00B8232C">
        <w:t xml:space="preserve">through the establishment of the CSM </w:t>
      </w:r>
      <w:r w:rsidRPr="00B8232C">
        <w:t>is calculated based on best estimate cash</w:t>
      </w:r>
      <w:r w:rsidR="0061250A" w:rsidRPr="00B8232C">
        <w:t xml:space="preserve"> </w:t>
      </w:r>
      <w:r w:rsidRPr="00B8232C">
        <w:t>f</w:t>
      </w:r>
      <w:r w:rsidR="00CF0FBD" w:rsidRPr="00B8232C">
        <w:t>lows, discounted</w:t>
      </w:r>
      <w:r w:rsidRPr="00B8232C">
        <w:t xml:space="preserve"> based o</w:t>
      </w:r>
      <w:r w:rsidR="002F54E5" w:rsidRPr="00B8232C">
        <w:t>n the nature of the liability cash</w:t>
      </w:r>
      <w:r w:rsidR="0061250A" w:rsidRPr="00B8232C">
        <w:t xml:space="preserve"> </w:t>
      </w:r>
      <w:r w:rsidR="002F54E5" w:rsidRPr="00B8232C">
        <w:t>flows (not necessarily related to the assets held)</w:t>
      </w:r>
      <w:r w:rsidR="00CF0FBD" w:rsidRPr="00B8232C">
        <w:t>,</w:t>
      </w:r>
      <w:r w:rsidR="002F54E5" w:rsidRPr="00B8232C">
        <w:t xml:space="preserve"> and an explicit </w:t>
      </w:r>
      <w:r w:rsidR="00E1253F">
        <w:t>R</w:t>
      </w:r>
      <w:r w:rsidR="00E1253F" w:rsidRPr="00B8232C">
        <w:t xml:space="preserve">isk </w:t>
      </w:r>
      <w:r w:rsidR="00E1253F">
        <w:t>A</w:t>
      </w:r>
      <w:r w:rsidR="00E1253F" w:rsidRPr="00B8232C">
        <w:t>djustment</w:t>
      </w:r>
      <w:r w:rsidR="002F54E5" w:rsidRPr="00B8232C">
        <w:t>.</w:t>
      </w:r>
      <w:r w:rsidR="0061250A" w:rsidRPr="00B8232C">
        <w:t xml:space="preserve">  </w:t>
      </w:r>
      <w:r w:rsidR="00616BFC" w:rsidRPr="00B8232C">
        <w:t xml:space="preserve">The discount rate methodology chosen will have a significant impact on the CSM and </w:t>
      </w:r>
      <w:r w:rsidR="00E1253F">
        <w:t xml:space="preserve">therefore </w:t>
      </w:r>
      <w:r w:rsidR="00616BFC" w:rsidRPr="00B8232C">
        <w:t>the reported profitability of</w:t>
      </w:r>
      <w:r w:rsidR="00E6244E" w:rsidRPr="00B8232C">
        <w:t xml:space="preserve"> annuities.  </w:t>
      </w:r>
      <w:r w:rsidR="0061250A" w:rsidRPr="00B8232C">
        <w:t>As the discounting is</w:t>
      </w:r>
      <w:r w:rsidR="00E1253F">
        <w:t>,</w:t>
      </w:r>
      <w:r w:rsidR="0061250A" w:rsidRPr="00B8232C">
        <w:t xml:space="preserve"> </w:t>
      </w:r>
      <w:r w:rsidR="00CF0FBD" w:rsidRPr="00B8232C">
        <w:t>in theory</w:t>
      </w:r>
      <w:r w:rsidR="00E1253F">
        <w:t>,</w:t>
      </w:r>
      <w:r w:rsidR="00CF0FBD" w:rsidRPr="00B8232C">
        <w:t xml:space="preserve"> </w:t>
      </w:r>
      <w:r w:rsidR="0061250A" w:rsidRPr="00B8232C">
        <w:t>independent of</w:t>
      </w:r>
      <w:r w:rsidR="001F4BBB" w:rsidRPr="00B8232C">
        <w:t xml:space="preserve"> the</w:t>
      </w:r>
      <w:r w:rsidR="0061250A" w:rsidRPr="00B8232C">
        <w:t xml:space="preserve"> assets held, </w:t>
      </w:r>
      <w:r w:rsidR="003C559C" w:rsidRPr="00B8232C">
        <w:t xml:space="preserve">investment expenses are not </w:t>
      </w:r>
      <w:r w:rsidR="0007735E" w:rsidRPr="00B8232C">
        <w:t xml:space="preserve">always </w:t>
      </w:r>
      <w:r w:rsidR="003C559C" w:rsidRPr="00B8232C">
        <w:t>included in the assessment of the fulfilment cash flows</w:t>
      </w:r>
      <w:r w:rsidR="0007735E" w:rsidRPr="00B8232C">
        <w:t>.</w:t>
      </w:r>
      <w:r w:rsidR="00961966" w:rsidRPr="00B8232C">
        <w:t xml:space="preserve">  This potentially increases</w:t>
      </w:r>
      <w:r w:rsidR="00C77D21" w:rsidRPr="00B8232C">
        <w:t xml:space="preserve"> the disclosed profitability of new business but with some of the “profit” being required to fund these </w:t>
      </w:r>
      <w:r w:rsidR="00961966" w:rsidRPr="00B8232C">
        <w:t xml:space="preserve">investment </w:t>
      </w:r>
      <w:r w:rsidR="0007735E" w:rsidRPr="00B8232C">
        <w:t>costs as they become due</w:t>
      </w:r>
      <w:r w:rsidR="003C559C" w:rsidRPr="00B8232C">
        <w:t>.</w:t>
      </w:r>
      <w:r w:rsidR="00860EFC" w:rsidRPr="00B8232C">
        <w:t xml:space="preserve"> </w:t>
      </w:r>
      <w:r w:rsidR="0007735E" w:rsidRPr="00B8232C">
        <w:t xml:space="preserve"> </w:t>
      </w:r>
    </w:p>
    <w:p w14:paraId="4970C115" w14:textId="241A6BAB" w:rsidR="003C559C" w:rsidRPr="00B8232C" w:rsidRDefault="0007735E">
      <w:r w:rsidRPr="00B8232C">
        <w:t xml:space="preserve">The </w:t>
      </w:r>
      <w:r w:rsidR="00D26537" w:rsidRPr="00B8232C">
        <w:t xml:space="preserve">determination of the </w:t>
      </w:r>
      <w:r w:rsidR="00E1253F">
        <w:t>R</w:t>
      </w:r>
      <w:r w:rsidR="00E1253F" w:rsidRPr="00B8232C">
        <w:t xml:space="preserve">isk </w:t>
      </w:r>
      <w:r w:rsidR="00E1253F">
        <w:t>A</w:t>
      </w:r>
      <w:r w:rsidR="00E1253F" w:rsidRPr="00B8232C">
        <w:t xml:space="preserve">djustment </w:t>
      </w:r>
      <w:r w:rsidRPr="00B8232C">
        <w:t>is principles based</w:t>
      </w:r>
      <w:r w:rsidR="00D26537" w:rsidRPr="00B8232C">
        <w:t xml:space="preserve">, and heavily influenced by the level of confidence that the </w:t>
      </w:r>
      <w:r w:rsidR="006B4E7A" w:rsidRPr="00B8232C">
        <w:t xml:space="preserve">insurance company elects to use. On initial recognition, </w:t>
      </w:r>
      <w:r w:rsidRPr="00B8232C">
        <w:t xml:space="preserve">the size of the </w:t>
      </w:r>
      <w:r w:rsidR="00E1253F">
        <w:t>R</w:t>
      </w:r>
      <w:r w:rsidR="00E1253F" w:rsidRPr="00B8232C">
        <w:t xml:space="preserve">isk </w:t>
      </w:r>
      <w:r w:rsidR="00E1253F">
        <w:t>A</w:t>
      </w:r>
      <w:r w:rsidR="00E1253F" w:rsidRPr="00B8232C">
        <w:t xml:space="preserve">djustment </w:t>
      </w:r>
      <w:r w:rsidRPr="00B8232C">
        <w:t xml:space="preserve">will affect the size of the CSM, though both components </w:t>
      </w:r>
      <w:r w:rsidR="006B4E7A" w:rsidRPr="00B8232C">
        <w:t>are</w:t>
      </w:r>
      <w:r w:rsidRPr="00B8232C">
        <w:t xml:space="preserve"> expected to be released into profit over time.  </w:t>
      </w:r>
      <w:r w:rsidR="00233000" w:rsidRPr="00B8232C">
        <w:t>Setting a</w:t>
      </w:r>
      <w:r w:rsidRPr="00B8232C">
        <w:t xml:space="preserve"> particularly large </w:t>
      </w:r>
      <w:r w:rsidR="00E1253F">
        <w:t>R</w:t>
      </w:r>
      <w:r w:rsidR="00E1253F" w:rsidRPr="00B8232C">
        <w:t xml:space="preserve">isk </w:t>
      </w:r>
      <w:r w:rsidR="00E1253F">
        <w:t>A</w:t>
      </w:r>
      <w:r w:rsidR="00E1253F" w:rsidRPr="00B8232C">
        <w:t xml:space="preserve">djustment </w:t>
      </w:r>
      <w:r w:rsidR="00917DDB" w:rsidRPr="00B8232C">
        <w:t>could result in groups</w:t>
      </w:r>
      <w:r w:rsidRPr="00B8232C">
        <w:t xml:space="preserve"> of contracts </w:t>
      </w:r>
      <w:r w:rsidR="00917DDB" w:rsidRPr="00B8232C">
        <w:t>being reported as onerous, with zero CSM.</w:t>
      </w:r>
    </w:p>
    <w:p w14:paraId="5BB01C6B" w14:textId="3021F79D" w:rsidR="00025C13" w:rsidRPr="009E4065" w:rsidRDefault="00025C13" w:rsidP="009E4065">
      <w:pPr>
        <w:jc w:val="both"/>
        <w:rPr>
          <w:rFonts w:ascii="Calibri" w:eastAsia="Calibri" w:hAnsi="Calibri" w:cs="Times New Roman"/>
          <w:b/>
        </w:rPr>
      </w:pPr>
      <w:r w:rsidRPr="009E4065">
        <w:rPr>
          <w:rFonts w:ascii="Calibri" w:eastAsia="Calibri" w:hAnsi="Calibri" w:cs="Times New Roman"/>
          <w:b/>
        </w:rPr>
        <w:t>Changes in expectations of profit</w:t>
      </w:r>
      <w:r w:rsidR="00992FED" w:rsidRPr="009E4065">
        <w:rPr>
          <w:rFonts w:ascii="Calibri" w:eastAsia="Calibri" w:hAnsi="Calibri" w:cs="Times New Roman"/>
          <w:b/>
        </w:rPr>
        <w:t xml:space="preserve"> over time</w:t>
      </w:r>
    </w:p>
    <w:p w14:paraId="05AC3067" w14:textId="20D5B33D" w:rsidR="004F4DAC" w:rsidRPr="00B8232C" w:rsidRDefault="00C12F13">
      <w:r w:rsidRPr="00B8232C">
        <w:t>During the term of the contract, changes in expected future profits due to non-economic experience and assumptions requ</w:t>
      </w:r>
      <w:r w:rsidR="00860EFC" w:rsidRPr="00B8232C">
        <w:t xml:space="preserve">ire the CSM to be recalculated.  This is </w:t>
      </w:r>
      <w:r w:rsidRPr="00B8232C">
        <w:t xml:space="preserve">effectively </w:t>
      </w:r>
      <w:r w:rsidR="00860EFC" w:rsidRPr="00B8232C">
        <w:t xml:space="preserve">a </w:t>
      </w:r>
      <w:r w:rsidR="0061250A" w:rsidRPr="00B8232C">
        <w:t>restat</w:t>
      </w:r>
      <w:r w:rsidR="00860EFC" w:rsidRPr="00B8232C">
        <w:t>ement of</w:t>
      </w:r>
      <w:r w:rsidR="0061250A" w:rsidRPr="00B8232C">
        <w:t xml:space="preserve"> the calculation at </w:t>
      </w:r>
      <w:r w:rsidR="00860EFC" w:rsidRPr="00B8232C">
        <w:t>inception (excluding coverage already provide</w:t>
      </w:r>
      <w:r w:rsidR="00C77D21" w:rsidRPr="00B8232C">
        <w:t>d</w:t>
      </w:r>
      <w:r w:rsidR="00860EFC" w:rsidRPr="00B8232C">
        <w:t>),</w:t>
      </w:r>
      <w:r w:rsidR="0061250A" w:rsidRPr="00B8232C">
        <w:t xml:space="preserve"> including the use of discount rates applied at the initial measurement.</w:t>
      </w:r>
      <w:r w:rsidR="00C77D21" w:rsidRPr="00B8232C">
        <w:t xml:space="preserve">  Changes due to changes in economic assumptions </w:t>
      </w:r>
      <w:r w:rsidR="00DB279D" w:rsidRPr="00B8232C">
        <w:t>and experience do not adjust the CSM and</w:t>
      </w:r>
      <w:r w:rsidR="0007735E" w:rsidRPr="00B8232C">
        <w:t xml:space="preserve"> therefore impact profits directly in the current reporting period</w:t>
      </w:r>
      <w:r w:rsidR="00DB279D" w:rsidRPr="00B8232C">
        <w:t>.</w:t>
      </w:r>
      <w:r w:rsidR="00DD1EBF" w:rsidRPr="00B8232C">
        <w:t xml:space="preserve">  This will include changes in future payments due to inflation-linked benefits increasing at a higher or lower rate than expected.</w:t>
      </w:r>
    </w:p>
    <w:p w14:paraId="090D280F" w14:textId="13482C48" w:rsidR="00A570BF" w:rsidRPr="009E4065" w:rsidRDefault="00A570BF" w:rsidP="009E4065">
      <w:pPr>
        <w:jc w:val="both"/>
        <w:rPr>
          <w:rFonts w:ascii="Calibri" w:eastAsia="Calibri" w:hAnsi="Calibri" w:cs="Times New Roman"/>
          <w:b/>
        </w:rPr>
      </w:pPr>
      <w:r w:rsidRPr="009E4065">
        <w:rPr>
          <w:rFonts w:ascii="Calibri" w:eastAsia="Calibri" w:hAnsi="Calibri" w:cs="Times New Roman"/>
          <w:b/>
        </w:rPr>
        <w:t>Pattern of service</w:t>
      </w:r>
      <w:r w:rsidR="00D6646B">
        <w:rPr>
          <w:rFonts w:ascii="Calibri" w:eastAsia="Calibri" w:hAnsi="Calibri" w:cs="Times New Roman"/>
          <w:b/>
        </w:rPr>
        <w:t xml:space="preserve"> provided</w:t>
      </w:r>
    </w:p>
    <w:p w14:paraId="39C996DE" w14:textId="5943F08D" w:rsidR="00DF361B" w:rsidRPr="00B8232C" w:rsidRDefault="00DF361B">
      <w:r w:rsidRPr="00B8232C">
        <w:t xml:space="preserve">Annuity claims (discounted or undiscounted) have been presented as a possible measure of </w:t>
      </w:r>
      <w:r w:rsidR="00D702BB" w:rsidRPr="00B8232C">
        <w:t xml:space="preserve">the </w:t>
      </w:r>
      <w:r w:rsidRPr="00B8232C">
        <w:t>coverage provided</w:t>
      </w:r>
      <w:r w:rsidR="00860EFC" w:rsidRPr="00B8232C">
        <w:t xml:space="preserve"> under an annuity contract</w:t>
      </w:r>
      <w:r w:rsidRPr="00B8232C">
        <w:t>.  This may not give a sensible pattern of profit release for annuities with guarantee periods and deferred annuities.  This is a particular issue for bulk purchase annuity writers</w:t>
      </w:r>
      <w:r w:rsidR="00DB279D" w:rsidRPr="00B8232C">
        <w:t xml:space="preserve">, where some approaches would result in </w:t>
      </w:r>
      <w:r w:rsidR="00F66A0E" w:rsidRPr="00B8232C">
        <w:t xml:space="preserve">very limited </w:t>
      </w:r>
      <w:r w:rsidR="00DB279D" w:rsidRPr="00B8232C">
        <w:t>revenue recognition in the initial years</w:t>
      </w:r>
      <w:r w:rsidRPr="00B8232C">
        <w:t>.</w:t>
      </w:r>
      <w:r w:rsidR="00650E44">
        <w:t xml:space="preserve">  The June 2019 </w:t>
      </w:r>
      <w:r w:rsidR="00AA6357">
        <w:t>IASB E</w:t>
      </w:r>
      <w:r w:rsidR="00650E44">
        <w:t xml:space="preserve">xposure </w:t>
      </w:r>
      <w:r w:rsidR="00AA6357">
        <w:t>D</w:t>
      </w:r>
      <w:r w:rsidR="00650E44">
        <w:t xml:space="preserve">raft on changes to IFRS 17 includes proposed changes to coverage units </w:t>
      </w:r>
      <w:r w:rsidR="00E663CE">
        <w:t>which may impact annuities so developments will need to be monitored.</w:t>
      </w:r>
    </w:p>
    <w:p w14:paraId="60CA7C97" w14:textId="1E703D1F" w:rsidR="00A570BF" w:rsidRPr="009E4065" w:rsidRDefault="00E663CE" w:rsidP="009E4065">
      <w:pPr>
        <w:jc w:val="both"/>
        <w:rPr>
          <w:rFonts w:ascii="Calibri" w:eastAsia="Calibri" w:hAnsi="Calibri" w:cs="Times New Roman"/>
          <w:b/>
        </w:rPr>
      </w:pPr>
      <w:r>
        <w:rPr>
          <w:rFonts w:ascii="Calibri" w:eastAsia="Calibri" w:hAnsi="Calibri" w:cs="Times New Roman"/>
          <w:b/>
        </w:rPr>
        <w:lastRenderedPageBreak/>
        <w:t>Reinsurance</w:t>
      </w:r>
    </w:p>
    <w:p w14:paraId="05AD8603" w14:textId="67F88F44" w:rsidR="005D3912" w:rsidRPr="00B8232C" w:rsidRDefault="00860EFC">
      <w:r w:rsidRPr="00B8232C">
        <w:t xml:space="preserve">The </w:t>
      </w:r>
      <w:r w:rsidR="007360EE">
        <w:t>liability</w:t>
      </w:r>
      <w:r w:rsidR="00DB279D" w:rsidRPr="00B8232C">
        <w:t xml:space="preserve"> calculations</w:t>
      </w:r>
      <w:r w:rsidR="00F85923">
        <w:t xml:space="preserve"> (which includes the CSM)</w:t>
      </w:r>
      <w:r w:rsidRPr="00B8232C">
        <w:t xml:space="preserve"> need to be performed </w:t>
      </w:r>
      <w:r w:rsidR="00DB279D" w:rsidRPr="00B8232C">
        <w:t xml:space="preserve">and disclosed </w:t>
      </w:r>
      <w:r w:rsidRPr="00B8232C">
        <w:t xml:space="preserve">gross of </w:t>
      </w:r>
      <w:r w:rsidRPr="00864398">
        <w:t>reinsurance</w:t>
      </w:r>
      <w:r w:rsidRPr="00B8232C">
        <w:t xml:space="preserve">, with reinsurance contracts being measured separately.  </w:t>
      </w:r>
      <w:r w:rsidR="00F85923">
        <w:t>This separation leads to</w:t>
      </w:r>
      <w:r w:rsidRPr="00B8232C">
        <w:t xml:space="preserve"> </w:t>
      </w:r>
      <w:r w:rsidR="00F85923">
        <w:t>the</w:t>
      </w:r>
      <w:r w:rsidRPr="00B8232C">
        <w:t xml:space="preserve"> possibility of mismatches</w:t>
      </w:r>
      <w:r w:rsidR="00DB279D" w:rsidRPr="00B8232C">
        <w:t xml:space="preserve"> due to different </w:t>
      </w:r>
      <w:r w:rsidR="005D3912" w:rsidRPr="00B8232C">
        <w:t>discount rates and different granularity in the calculations.</w:t>
      </w:r>
    </w:p>
    <w:p w14:paraId="25E41AEF" w14:textId="77777777" w:rsidR="009E4065" w:rsidRPr="009E4065" w:rsidRDefault="009E4065" w:rsidP="00864398">
      <w:pPr>
        <w:rPr>
          <w:b/>
        </w:rPr>
      </w:pPr>
      <w:r w:rsidRPr="009E4065">
        <w:rPr>
          <w:b/>
        </w:rPr>
        <w:t>Transition</w:t>
      </w:r>
    </w:p>
    <w:p w14:paraId="6CFADFE1" w14:textId="459D2208" w:rsidR="00860EFC" w:rsidRPr="00B8232C" w:rsidRDefault="005D3912">
      <w:r w:rsidRPr="00B8232C">
        <w:t xml:space="preserve">A CSM needs to be set up for existing business on </w:t>
      </w:r>
      <w:r w:rsidRPr="00864398">
        <w:t>transition</w:t>
      </w:r>
      <w:r w:rsidRPr="00B8232C">
        <w:t xml:space="preserve"> to IFRS 17 in 2022, effectively </w:t>
      </w:r>
      <w:r w:rsidR="00D702BB" w:rsidRPr="00B8232C">
        <w:t>establishing</w:t>
      </w:r>
      <w:r w:rsidRPr="00B8232C">
        <w:t xml:space="preserve"> a liability for profits that have already been reported and possibly distributed under IFRS 4</w:t>
      </w:r>
      <w:r w:rsidR="00860EFC" w:rsidRPr="00B8232C">
        <w:t>.</w:t>
      </w:r>
      <w:r w:rsidRPr="00B8232C">
        <w:t xml:space="preserve">  </w:t>
      </w:r>
      <w:r w:rsidR="00196427" w:rsidRPr="00B8232C">
        <w:t>If deemed practical, the business must be valued at the date of transition assuming that IFRS17 has applied throughout the lifetime of that business.  Otherwise, a fair value measure may be taken at the point of transition, or certain modifications may be applied to the retrospective calculation. This requirement could significantly alter the profit emerging from the back book when compared to IFRS4</w:t>
      </w:r>
      <w:r w:rsidRPr="00B8232C">
        <w:t xml:space="preserve"> </w:t>
      </w:r>
      <w:r w:rsidR="00196427" w:rsidRPr="00B8232C">
        <w:t>and is likely to</w:t>
      </w:r>
      <w:r w:rsidR="00DD1EBF" w:rsidRPr="00B8232C">
        <w:t xml:space="preserve"> </w:t>
      </w:r>
      <w:r w:rsidR="00937233" w:rsidRPr="00B8232C">
        <w:t xml:space="preserve">lead to a strain on </w:t>
      </w:r>
      <w:r w:rsidR="005455C2">
        <w:t xml:space="preserve">shareholder </w:t>
      </w:r>
      <w:r w:rsidR="00937233" w:rsidRPr="00B8232C">
        <w:t xml:space="preserve">equity </w:t>
      </w:r>
      <w:r w:rsidR="00D702BB" w:rsidRPr="00B8232C">
        <w:t>for annuity companies</w:t>
      </w:r>
      <w:r w:rsidR="00196427" w:rsidRPr="00B8232C">
        <w:t xml:space="preserve"> at transition</w:t>
      </w:r>
      <w:r w:rsidR="00D702BB" w:rsidRPr="00B8232C">
        <w:t>, offset by higher reported profits in future years.</w:t>
      </w:r>
      <w:r w:rsidR="00196427" w:rsidRPr="00B8232C">
        <w:t xml:space="preserve">  </w:t>
      </w:r>
    </w:p>
    <w:p w14:paraId="14E8396F" w14:textId="77777777" w:rsidR="00BB1209" w:rsidRPr="00BB1209" w:rsidRDefault="009E4065" w:rsidP="00864398">
      <w:pPr>
        <w:rPr>
          <w:b/>
        </w:rPr>
      </w:pPr>
      <w:r w:rsidRPr="00BB1209">
        <w:rPr>
          <w:b/>
        </w:rPr>
        <w:t>Operational complexities</w:t>
      </w:r>
    </w:p>
    <w:p w14:paraId="5EADD8FE" w14:textId="7A128CD3" w:rsidR="009F3503" w:rsidRPr="00B8232C" w:rsidRDefault="009F3503">
      <w:r w:rsidRPr="00B8232C">
        <w:t xml:space="preserve">There are many additional requirements from compliance with IFRS 17 that cause </w:t>
      </w:r>
      <w:r w:rsidRPr="00864398">
        <w:t>operational complexities</w:t>
      </w:r>
      <w:r w:rsidRPr="00BB1209">
        <w:t xml:space="preserve"> </w:t>
      </w:r>
      <w:r w:rsidRPr="00B8232C">
        <w:t>for an insurer</w:t>
      </w:r>
      <w:r w:rsidR="0083326F">
        <w:t xml:space="preserve"> across all products</w:t>
      </w:r>
      <w:r w:rsidR="008A5980">
        <w:t>, such as:</w:t>
      </w:r>
    </w:p>
    <w:p w14:paraId="4E6A828E" w14:textId="3A5BEEE1" w:rsidR="009F3503" w:rsidRPr="00B8232C" w:rsidRDefault="0083326F" w:rsidP="00C075A0">
      <w:pPr>
        <w:pStyle w:val="ListParagraph"/>
        <w:numPr>
          <w:ilvl w:val="0"/>
          <w:numId w:val="2"/>
        </w:numPr>
      </w:pPr>
      <w:r>
        <w:t>t</w:t>
      </w:r>
      <w:r w:rsidRPr="00B8232C">
        <w:t xml:space="preserve">he </w:t>
      </w:r>
      <w:r w:rsidR="009F3503" w:rsidRPr="00B8232C">
        <w:t>granularity of the analysis is more detailed</w:t>
      </w:r>
      <w:r>
        <w:t>,</w:t>
      </w:r>
    </w:p>
    <w:p w14:paraId="671F6C35" w14:textId="73E80A1F" w:rsidR="009F3503" w:rsidRPr="00B8232C" w:rsidRDefault="0083326F" w:rsidP="00C075A0">
      <w:pPr>
        <w:pStyle w:val="ListParagraph"/>
        <w:numPr>
          <w:ilvl w:val="0"/>
          <w:numId w:val="2"/>
        </w:numPr>
      </w:pPr>
      <w:r>
        <w:t>t</w:t>
      </w:r>
      <w:r w:rsidRPr="00B8232C">
        <w:t xml:space="preserve">he </w:t>
      </w:r>
      <w:r w:rsidR="009F3503" w:rsidRPr="00B8232C">
        <w:t>disclosures required are far more comprehensive</w:t>
      </w:r>
      <w:r>
        <w:t>, and</w:t>
      </w:r>
    </w:p>
    <w:p w14:paraId="3B87194D" w14:textId="27D9460B" w:rsidR="009F3503" w:rsidRPr="00B8232C" w:rsidRDefault="0083326F" w:rsidP="00C075A0">
      <w:pPr>
        <w:pStyle w:val="ListParagraph"/>
        <w:numPr>
          <w:ilvl w:val="0"/>
          <w:numId w:val="2"/>
        </w:numPr>
      </w:pPr>
      <w:r>
        <w:t>t</w:t>
      </w:r>
      <w:r w:rsidR="009F3503" w:rsidRPr="00B8232C">
        <w:t>here are new components such as the CSM and RA that need to be valued</w:t>
      </w:r>
      <w:r>
        <w:t>.</w:t>
      </w:r>
    </w:p>
    <w:p w14:paraId="48E275F7" w14:textId="5BD86029" w:rsidR="009F3503" w:rsidRDefault="009F3503" w:rsidP="009F3503">
      <w:r w:rsidRPr="00B8232C">
        <w:t>These complexities will have impacts on the systems and processes that companies use, as well as an impact o</w:t>
      </w:r>
      <w:r w:rsidR="006C09CF" w:rsidRPr="00B8232C">
        <w:t>n</w:t>
      </w:r>
      <w:r w:rsidRPr="00B8232C">
        <w:t xml:space="preserve"> the people who produce the required disclosures.</w:t>
      </w:r>
      <w:bookmarkStart w:id="0" w:name="_GoBack"/>
      <w:bookmarkEnd w:id="0"/>
    </w:p>
    <w:p w14:paraId="588A6D00" w14:textId="77777777" w:rsidR="009E4065" w:rsidRPr="009E4065" w:rsidRDefault="009E4065" w:rsidP="009E4065">
      <w:pPr>
        <w:jc w:val="both"/>
        <w:rPr>
          <w:rFonts w:ascii="Calibri" w:eastAsia="Calibri" w:hAnsi="Calibri" w:cs="Times New Roman"/>
          <w:b/>
        </w:rPr>
      </w:pPr>
      <w:r w:rsidRPr="009E4065">
        <w:rPr>
          <w:rFonts w:ascii="Calibri" w:eastAsia="Calibri" w:hAnsi="Calibri" w:cs="Times New Roman"/>
          <w:b/>
        </w:rPr>
        <w:t>Summary</w:t>
      </w:r>
    </w:p>
    <w:p w14:paraId="66F4CDDC" w14:textId="68E88BE9" w:rsidR="009E4065" w:rsidRPr="00B8232C" w:rsidRDefault="00333B94" w:rsidP="009F3503">
      <w:r>
        <w:t>In summary, UK insurers with annuity business will have complex decisions to make</w:t>
      </w:r>
      <w:r w:rsidR="00CE0606">
        <w:t xml:space="preserve"> (</w:t>
      </w:r>
      <w:r w:rsidR="00CC0B22">
        <w:t xml:space="preserve">including </w:t>
      </w:r>
      <w:r w:rsidR="00CE0606">
        <w:t>discount rate methodology and transition approach)</w:t>
      </w:r>
      <w:r>
        <w:t xml:space="preserve"> and implementation issues to resolve as part of their transition to IFRS 17.</w:t>
      </w:r>
      <w:r w:rsidR="00CC0B22">
        <w:t xml:space="preserve">  </w:t>
      </w:r>
      <w:r w:rsidR="00831184">
        <w:t xml:space="preserve">The IFRS profit profile for annuity business will change drastically and </w:t>
      </w:r>
      <w:r w:rsidR="00D6646B">
        <w:t>d</w:t>
      </w:r>
      <w:r w:rsidR="00831184">
        <w:t>i</w:t>
      </w:r>
      <w:r w:rsidR="00D6646B">
        <w:t>s</w:t>
      </w:r>
      <w:r w:rsidR="00831184">
        <w:t xml:space="preserve">closures are increased.  </w:t>
      </w:r>
      <w:r w:rsidR="00BB1209" w:rsidRPr="00B8232C">
        <w:t xml:space="preserve">It is also noted that as Solvency II </w:t>
      </w:r>
      <w:r w:rsidR="00D6646B">
        <w:t>T</w:t>
      </w:r>
      <w:r w:rsidR="00BB1209" w:rsidRPr="00B8232C">
        <w:t xml:space="preserve">echnical </w:t>
      </w:r>
      <w:r w:rsidR="00D6646B">
        <w:t>P</w:t>
      </w:r>
      <w:r w:rsidR="00BB1209" w:rsidRPr="00B8232C">
        <w:t xml:space="preserve">rovisions do not include a CSM, IFRS 17 </w:t>
      </w:r>
      <w:r w:rsidR="00BB1209" w:rsidRPr="00864398">
        <w:t>profits are expected to emerge more slowly</w:t>
      </w:r>
      <w:r w:rsidR="00BB1209" w:rsidRPr="00B8232C">
        <w:t xml:space="preserve"> than the emergence of surplus under Solvency II.</w:t>
      </w:r>
      <w:r w:rsidR="00831184">
        <w:t xml:space="preserve">  Investor education will be important to ensure the impact on annuity business from the change in accounting standards is well understood.</w:t>
      </w:r>
    </w:p>
    <w:p w14:paraId="400D8EE0" w14:textId="66BEAC8C" w:rsidR="00650E44" w:rsidRPr="00A35FF6" w:rsidRDefault="00650E44" w:rsidP="00650E44">
      <w:pPr>
        <w:pStyle w:val="ListParagraph"/>
        <w:ind w:left="0"/>
        <w:jc w:val="both"/>
      </w:pPr>
      <w:r w:rsidRPr="00D719C2">
        <w:t xml:space="preserve">Further articles from the IFRS 17 Transversal Working Party will discuss these and other </w:t>
      </w:r>
      <w:r>
        <w:t xml:space="preserve">annuity </w:t>
      </w:r>
      <w:r w:rsidRPr="00D719C2">
        <w:t>issues further</w:t>
      </w:r>
      <w:r w:rsidR="000B2249">
        <w:t xml:space="preserve">. </w:t>
      </w:r>
      <w:r>
        <w:t xml:space="preserve"> </w:t>
      </w:r>
      <w:r w:rsidR="000B2249">
        <w:t>S</w:t>
      </w:r>
      <w:r>
        <w:t xml:space="preserve">ee </w:t>
      </w:r>
      <w:hyperlink r:id="rId8" w:history="1">
        <w:r w:rsidR="00F85923">
          <w:rPr>
            <w:rStyle w:val="Hyperlink"/>
          </w:rPr>
          <w:t>https://www.actuaries.org.uk/practice-areas/life/research-working-parties/ifrs-17-transversal</w:t>
        </w:r>
      </w:hyperlink>
      <w:r w:rsidRPr="00A35FF6">
        <w:rPr>
          <w:color w:val="4F81BD" w:themeColor="accent1"/>
        </w:rPr>
        <w:t xml:space="preserve"> </w:t>
      </w:r>
      <w:r>
        <w:t>for details</w:t>
      </w:r>
      <w:r w:rsidRPr="00D719C2">
        <w:t>.</w:t>
      </w:r>
      <w:r>
        <w:t xml:space="preserve">  </w:t>
      </w:r>
    </w:p>
    <w:p w14:paraId="17934058" w14:textId="4149DC77" w:rsidR="00A976AE" w:rsidRPr="009B0BC3" w:rsidRDefault="00A976AE">
      <w:pPr>
        <w:rPr>
          <w:sz w:val="24"/>
        </w:rPr>
      </w:pPr>
    </w:p>
    <w:sectPr w:rsidR="00A976AE" w:rsidRPr="009B0B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DE6BF" w14:textId="77777777" w:rsidR="00872A4B" w:rsidRDefault="00872A4B" w:rsidP="0007735E">
      <w:pPr>
        <w:spacing w:after="0" w:line="240" w:lineRule="auto"/>
      </w:pPr>
      <w:r>
        <w:separator/>
      </w:r>
    </w:p>
  </w:endnote>
  <w:endnote w:type="continuationSeparator" w:id="0">
    <w:p w14:paraId="4606CC81" w14:textId="77777777" w:rsidR="00872A4B" w:rsidRDefault="00872A4B" w:rsidP="0007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C363" w14:textId="77777777" w:rsidR="00872A4B" w:rsidRDefault="00872A4B" w:rsidP="0007735E">
      <w:pPr>
        <w:spacing w:after="0" w:line="240" w:lineRule="auto"/>
      </w:pPr>
      <w:r>
        <w:separator/>
      </w:r>
    </w:p>
  </w:footnote>
  <w:footnote w:type="continuationSeparator" w:id="0">
    <w:p w14:paraId="0722B8B1" w14:textId="77777777" w:rsidR="00872A4B" w:rsidRDefault="00872A4B" w:rsidP="00077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364DF"/>
    <w:multiLevelType w:val="hybridMultilevel"/>
    <w:tmpl w:val="2344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B7276"/>
    <w:multiLevelType w:val="hybridMultilevel"/>
    <w:tmpl w:val="CD5E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AE"/>
    <w:rsid w:val="00013E9C"/>
    <w:rsid w:val="00025C13"/>
    <w:rsid w:val="00027272"/>
    <w:rsid w:val="00027378"/>
    <w:rsid w:val="0007735E"/>
    <w:rsid w:val="000A480A"/>
    <w:rsid w:val="000B2249"/>
    <w:rsid w:val="000D2FBC"/>
    <w:rsid w:val="000E433B"/>
    <w:rsid w:val="001533BD"/>
    <w:rsid w:val="0017588C"/>
    <w:rsid w:val="00196427"/>
    <w:rsid w:val="00196528"/>
    <w:rsid w:val="001B29E4"/>
    <w:rsid w:val="001B2BFC"/>
    <w:rsid w:val="001F4BBB"/>
    <w:rsid w:val="0020271F"/>
    <w:rsid w:val="00210D71"/>
    <w:rsid w:val="002266EB"/>
    <w:rsid w:val="00233000"/>
    <w:rsid w:val="00296493"/>
    <w:rsid w:val="002B445B"/>
    <w:rsid w:val="002D79F9"/>
    <w:rsid w:val="002E0AB5"/>
    <w:rsid w:val="002F54E5"/>
    <w:rsid w:val="00333B94"/>
    <w:rsid w:val="003A15B3"/>
    <w:rsid w:val="003A26A4"/>
    <w:rsid w:val="003C2B48"/>
    <w:rsid w:val="003C559C"/>
    <w:rsid w:val="003F3A7E"/>
    <w:rsid w:val="004059E5"/>
    <w:rsid w:val="004067B3"/>
    <w:rsid w:val="0041545E"/>
    <w:rsid w:val="00467415"/>
    <w:rsid w:val="004775BE"/>
    <w:rsid w:val="00480781"/>
    <w:rsid w:val="004945AF"/>
    <w:rsid w:val="004B2888"/>
    <w:rsid w:val="004C2812"/>
    <w:rsid w:val="004F4DAC"/>
    <w:rsid w:val="00501298"/>
    <w:rsid w:val="005169E5"/>
    <w:rsid w:val="005455C2"/>
    <w:rsid w:val="00577A96"/>
    <w:rsid w:val="00587C34"/>
    <w:rsid w:val="005909BA"/>
    <w:rsid w:val="005C2A16"/>
    <w:rsid w:val="005C4CBE"/>
    <w:rsid w:val="005D3912"/>
    <w:rsid w:val="005E347B"/>
    <w:rsid w:val="005E6CA2"/>
    <w:rsid w:val="005F5BD7"/>
    <w:rsid w:val="00607708"/>
    <w:rsid w:val="00607FDC"/>
    <w:rsid w:val="0061250A"/>
    <w:rsid w:val="00616BFC"/>
    <w:rsid w:val="006357E1"/>
    <w:rsid w:val="00643A75"/>
    <w:rsid w:val="00650E44"/>
    <w:rsid w:val="006757C0"/>
    <w:rsid w:val="006A03A7"/>
    <w:rsid w:val="006A2410"/>
    <w:rsid w:val="006B4ABF"/>
    <w:rsid w:val="006B4E7A"/>
    <w:rsid w:val="006C09CF"/>
    <w:rsid w:val="006C66AB"/>
    <w:rsid w:val="006D2ABE"/>
    <w:rsid w:val="00723CE8"/>
    <w:rsid w:val="00727EA0"/>
    <w:rsid w:val="007360EE"/>
    <w:rsid w:val="00744CC5"/>
    <w:rsid w:val="0076758B"/>
    <w:rsid w:val="00782D0F"/>
    <w:rsid w:val="007963AF"/>
    <w:rsid w:val="007B1145"/>
    <w:rsid w:val="007B1355"/>
    <w:rsid w:val="007C7665"/>
    <w:rsid w:val="00804BAB"/>
    <w:rsid w:val="00831184"/>
    <w:rsid w:val="0083326F"/>
    <w:rsid w:val="00845199"/>
    <w:rsid w:val="00853BA7"/>
    <w:rsid w:val="00860EFC"/>
    <w:rsid w:val="00864398"/>
    <w:rsid w:val="00872A4B"/>
    <w:rsid w:val="008A5980"/>
    <w:rsid w:val="008B18D1"/>
    <w:rsid w:val="008B26A8"/>
    <w:rsid w:val="00910C02"/>
    <w:rsid w:val="00917DDB"/>
    <w:rsid w:val="0093311E"/>
    <w:rsid w:val="00937233"/>
    <w:rsid w:val="00956A32"/>
    <w:rsid w:val="00961966"/>
    <w:rsid w:val="00963808"/>
    <w:rsid w:val="009657FB"/>
    <w:rsid w:val="00992FED"/>
    <w:rsid w:val="009B0BC3"/>
    <w:rsid w:val="009B3E4C"/>
    <w:rsid w:val="009C7302"/>
    <w:rsid w:val="009C7744"/>
    <w:rsid w:val="009E4065"/>
    <w:rsid w:val="009F3503"/>
    <w:rsid w:val="00A00680"/>
    <w:rsid w:val="00A311D2"/>
    <w:rsid w:val="00A4025C"/>
    <w:rsid w:val="00A542DD"/>
    <w:rsid w:val="00A56587"/>
    <w:rsid w:val="00A570BF"/>
    <w:rsid w:val="00A94994"/>
    <w:rsid w:val="00A976AE"/>
    <w:rsid w:val="00AA6357"/>
    <w:rsid w:val="00AA6716"/>
    <w:rsid w:val="00AA6A0F"/>
    <w:rsid w:val="00AB04A3"/>
    <w:rsid w:val="00AD3B82"/>
    <w:rsid w:val="00AD6CCD"/>
    <w:rsid w:val="00AD7E56"/>
    <w:rsid w:val="00B0030A"/>
    <w:rsid w:val="00B71B49"/>
    <w:rsid w:val="00B8232C"/>
    <w:rsid w:val="00BA383C"/>
    <w:rsid w:val="00BB1209"/>
    <w:rsid w:val="00BD7E2A"/>
    <w:rsid w:val="00BF21E6"/>
    <w:rsid w:val="00BF3034"/>
    <w:rsid w:val="00C075A0"/>
    <w:rsid w:val="00C12F13"/>
    <w:rsid w:val="00C77D21"/>
    <w:rsid w:val="00C947D1"/>
    <w:rsid w:val="00CC0B22"/>
    <w:rsid w:val="00CD0674"/>
    <w:rsid w:val="00CE0606"/>
    <w:rsid w:val="00CF0FBD"/>
    <w:rsid w:val="00CF6CE2"/>
    <w:rsid w:val="00D001F8"/>
    <w:rsid w:val="00D11755"/>
    <w:rsid w:val="00D26537"/>
    <w:rsid w:val="00D328CC"/>
    <w:rsid w:val="00D42AAB"/>
    <w:rsid w:val="00D652A2"/>
    <w:rsid w:val="00D6646B"/>
    <w:rsid w:val="00D702BB"/>
    <w:rsid w:val="00D93678"/>
    <w:rsid w:val="00DB279D"/>
    <w:rsid w:val="00DD1EBF"/>
    <w:rsid w:val="00DE0B78"/>
    <w:rsid w:val="00DE49BA"/>
    <w:rsid w:val="00DF361B"/>
    <w:rsid w:val="00E04C0C"/>
    <w:rsid w:val="00E1253F"/>
    <w:rsid w:val="00E17CBD"/>
    <w:rsid w:val="00E334D1"/>
    <w:rsid w:val="00E6244E"/>
    <w:rsid w:val="00E663CE"/>
    <w:rsid w:val="00EA6B94"/>
    <w:rsid w:val="00ED2D90"/>
    <w:rsid w:val="00EE141D"/>
    <w:rsid w:val="00F0306B"/>
    <w:rsid w:val="00F03235"/>
    <w:rsid w:val="00F054B6"/>
    <w:rsid w:val="00F50321"/>
    <w:rsid w:val="00F64DC1"/>
    <w:rsid w:val="00F6546B"/>
    <w:rsid w:val="00F66A0E"/>
    <w:rsid w:val="00F67D6A"/>
    <w:rsid w:val="00F84FDE"/>
    <w:rsid w:val="00F85923"/>
    <w:rsid w:val="00FA5060"/>
    <w:rsid w:val="00FB177F"/>
    <w:rsid w:val="00FB7B55"/>
    <w:rsid w:val="00FE46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014CF"/>
  <w15:docId w15:val="{E5CB2A06-CD2C-4EEF-9E8B-30BF932F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6AE"/>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B48"/>
    <w:pPr>
      <w:ind w:left="720"/>
      <w:contextualSpacing/>
    </w:pPr>
  </w:style>
  <w:style w:type="character" w:styleId="CommentReference">
    <w:name w:val="annotation reference"/>
    <w:basedOn w:val="DefaultParagraphFont"/>
    <w:uiPriority w:val="99"/>
    <w:semiHidden/>
    <w:unhideWhenUsed/>
    <w:rsid w:val="00961966"/>
    <w:rPr>
      <w:sz w:val="16"/>
      <w:szCs w:val="16"/>
    </w:rPr>
  </w:style>
  <w:style w:type="paragraph" w:styleId="CommentText">
    <w:name w:val="annotation text"/>
    <w:basedOn w:val="Normal"/>
    <w:link w:val="CommentTextChar"/>
    <w:uiPriority w:val="99"/>
    <w:semiHidden/>
    <w:unhideWhenUsed/>
    <w:rsid w:val="00961966"/>
    <w:pPr>
      <w:spacing w:line="240" w:lineRule="auto"/>
    </w:pPr>
    <w:rPr>
      <w:sz w:val="20"/>
      <w:szCs w:val="20"/>
    </w:rPr>
  </w:style>
  <w:style w:type="character" w:customStyle="1" w:styleId="CommentTextChar">
    <w:name w:val="Comment Text Char"/>
    <w:basedOn w:val="DefaultParagraphFont"/>
    <w:link w:val="CommentText"/>
    <w:uiPriority w:val="99"/>
    <w:semiHidden/>
    <w:rsid w:val="0096196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61966"/>
    <w:rPr>
      <w:b/>
      <w:bCs/>
    </w:rPr>
  </w:style>
  <w:style w:type="character" w:customStyle="1" w:styleId="CommentSubjectChar">
    <w:name w:val="Comment Subject Char"/>
    <w:basedOn w:val="CommentTextChar"/>
    <w:link w:val="CommentSubject"/>
    <w:uiPriority w:val="99"/>
    <w:semiHidden/>
    <w:rsid w:val="00961966"/>
    <w:rPr>
      <w:rFonts w:eastAsiaTheme="minorHAnsi"/>
      <w:b/>
      <w:bCs/>
      <w:sz w:val="20"/>
      <w:szCs w:val="20"/>
      <w:lang w:eastAsia="en-US"/>
    </w:rPr>
  </w:style>
  <w:style w:type="paragraph" w:styleId="BalloonText">
    <w:name w:val="Balloon Text"/>
    <w:basedOn w:val="Normal"/>
    <w:link w:val="BalloonTextChar"/>
    <w:uiPriority w:val="99"/>
    <w:semiHidden/>
    <w:unhideWhenUsed/>
    <w:rsid w:val="00961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66"/>
    <w:rPr>
      <w:rFonts w:ascii="Tahoma" w:eastAsiaTheme="minorHAnsi" w:hAnsi="Tahoma" w:cs="Tahoma"/>
      <w:sz w:val="16"/>
      <w:szCs w:val="16"/>
      <w:lang w:eastAsia="en-US"/>
    </w:rPr>
  </w:style>
  <w:style w:type="paragraph" w:styleId="Header">
    <w:name w:val="header"/>
    <w:basedOn w:val="Normal"/>
    <w:link w:val="HeaderChar"/>
    <w:uiPriority w:val="99"/>
    <w:unhideWhenUsed/>
    <w:rsid w:val="00077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5E"/>
    <w:rPr>
      <w:rFonts w:eastAsiaTheme="minorHAnsi"/>
      <w:lang w:eastAsia="en-US"/>
    </w:rPr>
  </w:style>
  <w:style w:type="paragraph" w:styleId="Footer">
    <w:name w:val="footer"/>
    <w:basedOn w:val="Normal"/>
    <w:link w:val="FooterChar"/>
    <w:uiPriority w:val="99"/>
    <w:unhideWhenUsed/>
    <w:rsid w:val="0007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35E"/>
    <w:rPr>
      <w:rFonts w:eastAsiaTheme="minorHAnsi"/>
      <w:lang w:eastAsia="en-US"/>
    </w:rPr>
  </w:style>
  <w:style w:type="character" w:styleId="Hyperlink">
    <w:name w:val="Hyperlink"/>
    <w:basedOn w:val="DefaultParagraphFont"/>
    <w:uiPriority w:val="99"/>
    <w:unhideWhenUsed/>
    <w:rsid w:val="00F64DC1"/>
    <w:rPr>
      <w:color w:val="0000FF" w:themeColor="hyperlink"/>
      <w:u w:val="single"/>
    </w:rPr>
  </w:style>
  <w:style w:type="character" w:styleId="UnresolvedMention">
    <w:name w:val="Unresolved Mention"/>
    <w:basedOn w:val="DefaultParagraphFont"/>
    <w:uiPriority w:val="99"/>
    <w:semiHidden/>
    <w:unhideWhenUsed/>
    <w:rsid w:val="00F64DC1"/>
    <w:rPr>
      <w:color w:val="808080"/>
      <w:shd w:val="clear" w:color="auto" w:fill="E6E6E6"/>
    </w:rPr>
  </w:style>
  <w:style w:type="character" w:styleId="FollowedHyperlink">
    <w:name w:val="FollowedHyperlink"/>
    <w:basedOn w:val="DefaultParagraphFont"/>
    <w:uiPriority w:val="99"/>
    <w:semiHidden/>
    <w:unhideWhenUsed/>
    <w:rsid w:val="00F64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tuaries.org.uk/practice-areas/life/research-working-parties/ifrs-17-transvers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B7AE-6C76-4051-8B43-98CB224D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941</Words>
  <Characters>5153</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Flynn</dc:creator>
  <dc:description>Classified as OA and Neither on 21/03/2019 by slf091</dc:description>
  <cp:lastModifiedBy>Murphy, Teresa (London)</cp:lastModifiedBy>
  <cp:revision>10</cp:revision>
  <cp:lastPrinted>2019-10-15T11:18:00Z</cp:lastPrinted>
  <dcterms:created xsi:type="dcterms:W3CDTF">2019-10-15T12:08:00Z</dcterms:created>
  <dcterms:modified xsi:type="dcterms:W3CDTF">2019-10-15T13:08:00Z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04ad84-3842-4580-9c59-9fd5ed058213_Enabled">
    <vt:lpwstr>True</vt:lpwstr>
  </property>
  <property fmtid="{D5CDD505-2E9C-101B-9397-08002B2CF9AE}" pid="3" name="MSIP_Label_fa04ad84-3842-4580-9c59-9fd5ed058213_SiteId">
    <vt:lpwstr>c9da0d0e-f235-4e9a-b399-246a120ebd3e</vt:lpwstr>
  </property>
  <property fmtid="{D5CDD505-2E9C-101B-9397-08002B2CF9AE}" pid="4" name="MSIP_Label_fa04ad84-3842-4580-9c59-9fd5ed058213_Owner">
    <vt:lpwstr>Veney@pensioncorporation.com</vt:lpwstr>
  </property>
  <property fmtid="{D5CDD505-2E9C-101B-9397-08002B2CF9AE}" pid="5" name="MSIP_Label_fa04ad84-3842-4580-9c59-9fd5ed058213_SetDate">
    <vt:lpwstr>2019-06-24T12:19:58.1313637Z</vt:lpwstr>
  </property>
  <property fmtid="{D5CDD505-2E9C-101B-9397-08002B2CF9AE}" pid="6" name="MSIP_Label_fa04ad84-3842-4580-9c59-9fd5ed058213_Name">
    <vt:lpwstr>Public</vt:lpwstr>
  </property>
  <property fmtid="{D5CDD505-2E9C-101B-9397-08002B2CF9AE}" pid="7" name="MSIP_Label_fa04ad84-3842-4580-9c59-9fd5ed058213_Application">
    <vt:lpwstr>Microsoft Azure Information Protection</vt:lpwstr>
  </property>
  <property fmtid="{D5CDD505-2E9C-101B-9397-08002B2CF9AE}" pid="8" name="MSIP_Label_fa04ad84-3842-4580-9c59-9fd5ed058213_ActionId">
    <vt:lpwstr>d7284ea8-6733-488a-ab14-f4843b5f6e23</vt:lpwstr>
  </property>
  <property fmtid="{D5CDD505-2E9C-101B-9397-08002B2CF9AE}" pid="9" name="MSIP_Label_fa04ad84-3842-4580-9c59-9fd5ed058213_Extended_MSFT_Method">
    <vt:lpwstr>Manual</vt:lpwstr>
  </property>
  <property fmtid="{D5CDD505-2E9C-101B-9397-08002B2CF9AE}" pid="10" name="Sensitivity">
    <vt:lpwstr>Public</vt:lpwstr>
  </property>
</Properties>
</file>