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A489F" w14:textId="2E490BDA" w:rsidR="00504347" w:rsidRPr="00A35FF6" w:rsidRDefault="002073EF">
      <w:pPr>
        <w:rPr>
          <w:b/>
          <w:sz w:val="24"/>
        </w:rPr>
      </w:pPr>
      <w:bookmarkStart w:id="0" w:name="_GoBack"/>
      <w:bookmarkEnd w:id="0"/>
      <w:r w:rsidRPr="00A35FF6">
        <w:rPr>
          <w:b/>
          <w:sz w:val="24"/>
        </w:rPr>
        <w:t xml:space="preserve">IFRS 17 </w:t>
      </w:r>
      <w:r w:rsidR="004B62D9" w:rsidRPr="00A35FF6">
        <w:rPr>
          <w:b/>
          <w:sz w:val="24"/>
        </w:rPr>
        <w:t xml:space="preserve">– impact on UK </w:t>
      </w:r>
      <w:r w:rsidR="0035348C" w:rsidRPr="00A35FF6">
        <w:rPr>
          <w:b/>
          <w:sz w:val="24"/>
        </w:rPr>
        <w:t>with-profits</w:t>
      </w:r>
      <w:r w:rsidR="004B62D9" w:rsidRPr="00A35FF6">
        <w:rPr>
          <w:b/>
          <w:sz w:val="24"/>
        </w:rPr>
        <w:t xml:space="preserve"> </w:t>
      </w:r>
      <w:r w:rsidR="00995E37">
        <w:rPr>
          <w:b/>
          <w:sz w:val="24"/>
        </w:rPr>
        <w:t>business</w:t>
      </w:r>
    </w:p>
    <w:p w14:paraId="749595A6" w14:textId="5CEF2B4C" w:rsidR="00D719C2" w:rsidRDefault="00D719C2" w:rsidP="005E7BCE">
      <w:pPr>
        <w:jc w:val="both"/>
      </w:pPr>
      <w:r w:rsidRPr="00D719C2">
        <w:t xml:space="preserve">This article </w:t>
      </w:r>
      <w:r>
        <w:t xml:space="preserve">from the </w:t>
      </w:r>
      <w:r w:rsidRPr="00A21137">
        <w:t xml:space="preserve">IFRS 17: Transversal </w:t>
      </w:r>
      <w:r>
        <w:t>w</w:t>
      </w:r>
      <w:r w:rsidRPr="00A21137">
        <w:t xml:space="preserve">orking </w:t>
      </w:r>
      <w:r>
        <w:t>p</w:t>
      </w:r>
      <w:r w:rsidRPr="00A21137">
        <w:t>arty</w:t>
      </w:r>
      <w:r w:rsidRPr="00D719C2">
        <w:t xml:space="preserve"> introduces some key issues insurers may face when implementing IFRS 17 for </w:t>
      </w:r>
      <w:r>
        <w:t>with-profits</w:t>
      </w:r>
      <w:r w:rsidRPr="00D719C2">
        <w:t xml:space="preserve"> business.  The working party intends to explore some of these issues more deeply over the coming months and would be happy to receive feedback from members on topics of particular interest.  </w:t>
      </w:r>
    </w:p>
    <w:p w14:paraId="67E162C6" w14:textId="77777777" w:rsidR="008A6CE9" w:rsidRPr="00D719C2" w:rsidRDefault="008A6CE9" w:rsidP="008A6CE9">
      <w:pPr>
        <w:pStyle w:val="ListParagraph"/>
        <w:ind w:left="0"/>
        <w:contextualSpacing w:val="0"/>
        <w:jc w:val="both"/>
        <w:rPr>
          <w:b/>
        </w:rPr>
      </w:pPr>
      <w:r w:rsidRPr="00D719C2">
        <w:rPr>
          <w:b/>
        </w:rPr>
        <w:t>Requirements of the standard</w:t>
      </w:r>
    </w:p>
    <w:p w14:paraId="6219DBA5" w14:textId="77453BA5" w:rsidR="008A6CE9" w:rsidRDefault="008A6CE9" w:rsidP="00A35FF6">
      <w:pPr>
        <w:pStyle w:val="ListParagraph"/>
        <w:ind w:left="0"/>
        <w:jc w:val="both"/>
      </w:pPr>
      <w:r w:rsidRPr="00D719C2">
        <w:t xml:space="preserve">Under the IFRS 17 standard, UK-style with-profits business will generally be </w:t>
      </w:r>
      <w:r w:rsidR="00B627CA">
        <w:t xml:space="preserve">treated as </w:t>
      </w:r>
      <w:r w:rsidRPr="00D719C2">
        <w:t xml:space="preserve">business with direct participation features and therefore eligible for the Variable Fee Approach (“VFA”).  This helps minimise otherwise material accounting mismatches that could be introduced if the liability values were disconnected from the underlying asset values.  </w:t>
      </w:r>
    </w:p>
    <w:p w14:paraId="1EFCE594" w14:textId="77777777" w:rsidR="008A6CE9" w:rsidRPr="00D719C2" w:rsidRDefault="008A6CE9" w:rsidP="00A35FF6">
      <w:pPr>
        <w:pStyle w:val="ListParagraph"/>
        <w:ind w:left="0"/>
        <w:jc w:val="both"/>
      </w:pPr>
    </w:p>
    <w:p w14:paraId="6D6A48B6" w14:textId="0FB956A5" w:rsidR="00997FB7" w:rsidRDefault="00A12DD1" w:rsidP="00A12DD1">
      <w:pPr>
        <w:pStyle w:val="ListParagraph"/>
        <w:ind w:left="0"/>
        <w:jc w:val="both"/>
      </w:pPr>
      <w:r w:rsidRPr="00A35FF6">
        <w:t xml:space="preserve">IFRS 17 </w:t>
      </w:r>
      <w:r w:rsidR="008A6CE9">
        <w:t xml:space="preserve">will </w:t>
      </w:r>
      <w:r w:rsidR="000E0440" w:rsidRPr="00D719C2">
        <w:t>mean a move away from profit</w:t>
      </w:r>
      <w:r w:rsidR="00C06CF9" w:rsidRPr="00D719C2">
        <w:t>s</w:t>
      </w:r>
      <w:r w:rsidR="000E0440" w:rsidRPr="00D719C2">
        <w:t xml:space="preserve"> </w:t>
      </w:r>
      <w:r w:rsidR="008A6CE9">
        <w:t xml:space="preserve">under the current </w:t>
      </w:r>
      <w:r>
        <w:t>(</w:t>
      </w:r>
      <w:r w:rsidR="008A6CE9">
        <w:t>IFRS 4</w:t>
      </w:r>
      <w:r>
        <w:t>)</w:t>
      </w:r>
      <w:r w:rsidR="008A6CE9">
        <w:t xml:space="preserve"> standard </w:t>
      </w:r>
      <w:r w:rsidR="000E0440" w:rsidRPr="00D719C2">
        <w:t>being directly related to the bonus declared</w:t>
      </w:r>
      <w:r w:rsidR="00654F3D" w:rsidRPr="00D719C2">
        <w:t>,</w:t>
      </w:r>
      <w:r w:rsidR="008F3FA9" w:rsidRPr="00D719C2">
        <w:t xml:space="preserve"> both</w:t>
      </w:r>
      <w:r w:rsidR="000E0440" w:rsidRPr="00D719C2">
        <w:t xml:space="preserve"> </w:t>
      </w:r>
      <w:r w:rsidR="00C06CF9" w:rsidRPr="00D719C2">
        <w:t xml:space="preserve">for </w:t>
      </w:r>
      <w:r w:rsidR="00654F3D" w:rsidRPr="00D719C2">
        <w:t>regular</w:t>
      </w:r>
      <w:r w:rsidR="000E0440" w:rsidRPr="00D719C2">
        <w:t xml:space="preserve"> </w:t>
      </w:r>
      <w:r w:rsidR="00FA2A7D" w:rsidRPr="00D719C2">
        <w:t xml:space="preserve">bonuses </w:t>
      </w:r>
      <w:r w:rsidR="000E0440" w:rsidRPr="00D719C2">
        <w:t xml:space="preserve">and </w:t>
      </w:r>
      <w:r w:rsidR="008F3FA9" w:rsidRPr="00D719C2">
        <w:t>the</w:t>
      </w:r>
      <w:r w:rsidR="000E0440" w:rsidRPr="00D719C2">
        <w:t xml:space="preserve"> typ</w:t>
      </w:r>
      <w:r w:rsidR="008F3FA9" w:rsidRPr="00D719C2">
        <w:t>ically larger final bonus</w:t>
      </w:r>
      <w:r w:rsidR="00C06CF9" w:rsidRPr="00D719C2">
        <w:t>es</w:t>
      </w:r>
      <w:r w:rsidR="008F3FA9" w:rsidRPr="00D719C2">
        <w:t xml:space="preserve">. </w:t>
      </w:r>
      <w:r w:rsidR="0023646C" w:rsidRPr="00D719C2">
        <w:t xml:space="preserve"> </w:t>
      </w:r>
      <w:r w:rsidR="008F3FA9" w:rsidRPr="00D719C2">
        <w:t xml:space="preserve">IFRS 17 profit </w:t>
      </w:r>
      <w:r w:rsidR="008A6CE9">
        <w:t xml:space="preserve">will be run off </w:t>
      </w:r>
      <w:r w:rsidR="008A6CE9" w:rsidRPr="00D719C2">
        <w:t xml:space="preserve">gradually over time as the insurance benefits are provided </w:t>
      </w:r>
      <w:r w:rsidR="008A6CE9">
        <w:t xml:space="preserve">and so </w:t>
      </w:r>
      <w:r w:rsidR="008F3FA9" w:rsidRPr="00D719C2">
        <w:t xml:space="preserve">is expected to emerge faster and more </w:t>
      </w:r>
      <w:r w:rsidR="00FA2A7D" w:rsidRPr="00D719C2">
        <w:t xml:space="preserve">smoothly </w:t>
      </w:r>
      <w:r w:rsidR="008F3FA9" w:rsidRPr="00D719C2">
        <w:t>o</w:t>
      </w:r>
      <w:r w:rsidR="00FA2A7D" w:rsidRPr="00D719C2">
        <w:t>ver</w:t>
      </w:r>
      <w:r w:rsidR="008F3FA9" w:rsidRPr="00D719C2">
        <w:t xml:space="preserve"> the lifetime of the contract</w:t>
      </w:r>
      <w:r w:rsidR="008A6CE9">
        <w:t>,</w:t>
      </w:r>
      <w:r w:rsidR="008F3FA9" w:rsidRPr="00D719C2">
        <w:t xml:space="preserve"> but without any link to the </w:t>
      </w:r>
      <w:r w:rsidR="00654F3D" w:rsidRPr="00D719C2">
        <w:t xml:space="preserve">actual </w:t>
      </w:r>
      <w:r w:rsidR="008F3FA9" w:rsidRPr="00D719C2">
        <w:t>bonuses</w:t>
      </w:r>
      <w:r w:rsidR="008A6CE9">
        <w:t xml:space="preserve"> or cash payments</w:t>
      </w:r>
      <w:r w:rsidR="008F3FA9" w:rsidRPr="00D719C2">
        <w:t>.</w:t>
      </w:r>
      <w:r w:rsidR="008A6CE9" w:rsidRPr="00D719C2" w:rsidDel="008A6CE9">
        <w:t xml:space="preserve"> </w:t>
      </w:r>
    </w:p>
    <w:p w14:paraId="543DBF0C" w14:textId="77777777" w:rsidR="00995E37" w:rsidRPr="00D719C2" w:rsidRDefault="00995E37" w:rsidP="00A12DD1">
      <w:pPr>
        <w:pStyle w:val="ListParagraph"/>
        <w:ind w:left="0"/>
        <w:jc w:val="both"/>
      </w:pPr>
    </w:p>
    <w:p w14:paraId="3C18D922" w14:textId="3DA75CC2" w:rsidR="00AB17C3" w:rsidRPr="00D719C2" w:rsidRDefault="008F3FA9" w:rsidP="00263CC1">
      <w:pPr>
        <w:pStyle w:val="ListParagraph"/>
        <w:ind w:left="0"/>
        <w:jc w:val="both"/>
      </w:pPr>
      <w:r w:rsidRPr="00D719C2">
        <w:t xml:space="preserve">This </w:t>
      </w:r>
      <w:r w:rsidR="00997FB7" w:rsidRPr="00D719C2">
        <w:t xml:space="preserve">acceleration of accounting profit, </w:t>
      </w:r>
      <w:r w:rsidR="007B0C50" w:rsidRPr="00D719C2">
        <w:t>rela</w:t>
      </w:r>
      <w:r w:rsidR="007A45B1" w:rsidRPr="00D719C2">
        <w:t>t</w:t>
      </w:r>
      <w:r w:rsidR="007B0C50" w:rsidRPr="00D719C2">
        <w:t xml:space="preserve">ive </w:t>
      </w:r>
      <w:r w:rsidR="00997FB7" w:rsidRPr="00D719C2">
        <w:t xml:space="preserve">to the </w:t>
      </w:r>
      <w:r w:rsidR="007A45B1" w:rsidRPr="00D719C2">
        <w:t xml:space="preserve">actual cash </w:t>
      </w:r>
      <w:r w:rsidR="00997FB7" w:rsidRPr="00D719C2">
        <w:t xml:space="preserve">basis, </w:t>
      </w:r>
      <w:r w:rsidR="007A45B1" w:rsidRPr="00D719C2">
        <w:t xml:space="preserve">could </w:t>
      </w:r>
      <w:r w:rsidRPr="00D719C2">
        <w:t xml:space="preserve">introduce </w:t>
      </w:r>
      <w:r w:rsidR="00281B66" w:rsidRPr="00D719C2">
        <w:t xml:space="preserve">a potentially confusing concept of “entity equity”, </w:t>
      </w:r>
      <w:r w:rsidR="00FA2A7D" w:rsidRPr="00D719C2">
        <w:t xml:space="preserve">i.e. </w:t>
      </w:r>
      <w:r w:rsidR="007A45B1" w:rsidRPr="00D719C2">
        <w:t xml:space="preserve">profit shown on the income statement that is </w:t>
      </w:r>
      <w:r w:rsidR="00281B66" w:rsidRPr="00D719C2">
        <w:t xml:space="preserve">restricted and unavailable to the shareholder. </w:t>
      </w:r>
      <w:r w:rsidR="0023646C" w:rsidRPr="00D719C2">
        <w:t xml:space="preserve"> </w:t>
      </w:r>
      <w:r w:rsidR="00281B66" w:rsidRPr="00D719C2">
        <w:t xml:space="preserve">This entity equity will remain part of underlying items until cash transfers move it to shareholder equity. </w:t>
      </w:r>
      <w:r w:rsidR="00AB17C3" w:rsidRPr="00D719C2">
        <w:t xml:space="preserve">Returns on shareholder equity will fall into profit as they are earned. </w:t>
      </w:r>
      <w:r w:rsidR="007A45B1" w:rsidRPr="00D719C2">
        <w:t xml:space="preserve"> </w:t>
      </w:r>
      <w:r w:rsidR="003278AA" w:rsidRPr="00D719C2">
        <w:t xml:space="preserve">In all, this may increase the need for alternative profit metrics, such as operating profit, for </w:t>
      </w:r>
      <w:r w:rsidR="007A45B1" w:rsidRPr="00D719C2">
        <w:t xml:space="preserve">with-profits </w:t>
      </w:r>
      <w:r w:rsidR="003278AA" w:rsidRPr="00D719C2">
        <w:t>insurers to tell their story.</w:t>
      </w:r>
    </w:p>
    <w:p w14:paraId="5C31A721" w14:textId="670010AA" w:rsidR="002A0128" w:rsidRDefault="002A0128" w:rsidP="00263CC1">
      <w:pPr>
        <w:pStyle w:val="ListParagraph"/>
        <w:ind w:left="0"/>
        <w:jc w:val="both"/>
      </w:pPr>
    </w:p>
    <w:p w14:paraId="088C48EA" w14:textId="04E3B208" w:rsidR="008A6CE9" w:rsidRDefault="00A63709" w:rsidP="00263CC1">
      <w:pPr>
        <w:pStyle w:val="ListParagraph"/>
        <w:ind w:left="0"/>
        <w:jc w:val="both"/>
      </w:pPr>
      <w:r>
        <w:t>W</w:t>
      </w:r>
      <w:r w:rsidR="008A6CE9" w:rsidRPr="00D719C2">
        <w:t>ith-profits business differs from other VFA business in that the cash flows of groups of contracts can affect the cash flows of other groups of contracts (referred to as “mutualisation”, noting that the standard does not use this term). In this regard in particular, the standard does not directly address the typical mechanics of a with-profits sub fund (“WPSF”).  Consequently, the standard needs to be interpreted allowing for “different practical approaches” for it to be applied</w:t>
      </w:r>
      <w:r>
        <w:t xml:space="preserve"> and t</w:t>
      </w:r>
      <w:r w:rsidR="008A6CE9" w:rsidRPr="00D719C2">
        <w:t>he appropriate treatment will most likely vary from fund to fund.</w:t>
      </w:r>
    </w:p>
    <w:p w14:paraId="1345728E" w14:textId="77777777" w:rsidR="008A6CE9" w:rsidRPr="00D719C2" w:rsidRDefault="008A6CE9" w:rsidP="00263CC1">
      <w:pPr>
        <w:pStyle w:val="ListParagraph"/>
        <w:ind w:left="0"/>
        <w:jc w:val="both"/>
      </w:pPr>
    </w:p>
    <w:p w14:paraId="65C54EB3" w14:textId="4358871B" w:rsidR="007A43C7" w:rsidRPr="00D719C2" w:rsidRDefault="00F5304F" w:rsidP="00263CC1">
      <w:pPr>
        <w:pStyle w:val="ListParagraph"/>
        <w:ind w:left="0"/>
        <w:jc w:val="both"/>
      </w:pPr>
      <w:r w:rsidRPr="00D719C2">
        <w:t>There are a number of</w:t>
      </w:r>
      <w:r w:rsidR="00D271AD" w:rsidRPr="00D719C2">
        <w:t xml:space="preserve"> technical</w:t>
      </w:r>
      <w:r w:rsidRPr="00D719C2">
        <w:t xml:space="preserve"> </w:t>
      </w:r>
      <w:r w:rsidR="007A43C7" w:rsidRPr="00D719C2">
        <w:t xml:space="preserve">and operational </w:t>
      </w:r>
      <w:r w:rsidR="00654F3D" w:rsidRPr="00D719C2">
        <w:t xml:space="preserve">considerations </w:t>
      </w:r>
      <w:r w:rsidRPr="00D719C2">
        <w:t>introduced by the standard regarding its appl</w:t>
      </w:r>
      <w:r w:rsidR="000A1FF8" w:rsidRPr="00D719C2">
        <w:t>i</w:t>
      </w:r>
      <w:r w:rsidRPr="00D719C2">
        <w:t xml:space="preserve">cation to </w:t>
      </w:r>
      <w:r w:rsidR="0023646C" w:rsidRPr="00D719C2">
        <w:t>with-profits</w:t>
      </w:r>
      <w:r w:rsidRPr="00D719C2">
        <w:t xml:space="preserve"> business.</w:t>
      </w:r>
      <w:r w:rsidR="001E335B" w:rsidRPr="00D719C2">
        <w:t xml:space="preserve"> </w:t>
      </w:r>
      <w:r w:rsidR="0023646C" w:rsidRPr="00D719C2">
        <w:t xml:space="preserve"> </w:t>
      </w:r>
      <w:r w:rsidR="00960AAD" w:rsidRPr="00D719C2">
        <w:t xml:space="preserve">A few </w:t>
      </w:r>
      <w:r w:rsidR="00487806" w:rsidRPr="00D719C2">
        <w:t>of the</w:t>
      </w:r>
      <w:r w:rsidR="00870391" w:rsidRPr="00D719C2">
        <w:t xml:space="preserve"> </w:t>
      </w:r>
      <w:r w:rsidR="00487806" w:rsidRPr="00D719C2">
        <w:t xml:space="preserve">key issues </w:t>
      </w:r>
      <w:r w:rsidR="007A43C7" w:rsidRPr="00D719C2">
        <w:t>are discussed</w:t>
      </w:r>
      <w:r w:rsidR="007B0C50" w:rsidRPr="00D719C2">
        <w:t xml:space="preserve"> in more detail</w:t>
      </w:r>
      <w:r w:rsidR="007A43C7" w:rsidRPr="00D719C2">
        <w:t xml:space="preserve"> below:</w:t>
      </w:r>
    </w:p>
    <w:p w14:paraId="44A18CB9" w14:textId="782E6A32" w:rsidR="00F370A8" w:rsidRDefault="00F370A8" w:rsidP="00263CC1">
      <w:pPr>
        <w:pStyle w:val="ListParagraph"/>
        <w:ind w:left="0"/>
        <w:jc w:val="both"/>
      </w:pPr>
    </w:p>
    <w:p w14:paraId="27ACE53F" w14:textId="67480588" w:rsidR="00A12DD1" w:rsidRPr="00A35FF6" w:rsidRDefault="00A12DD1" w:rsidP="00263CC1">
      <w:pPr>
        <w:pStyle w:val="ListParagraph"/>
        <w:ind w:left="0"/>
        <w:jc w:val="both"/>
        <w:rPr>
          <w:b/>
        </w:rPr>
      </w:pPr>
      <w:r w:rsidRPr="00A35FF6">
        <w:rPr>
          <w:b/>
        </w:rPr>
        <w:t>Transition</w:t>
      </w:r>
    </w:p>
    <w:p w14:paraId="5182444E" w14:textId="3643F9A4" w:rsidR="00F370A8" w:rsidRPr="00D719C2" w:rsidRDefault="00F370A8" w:rsidP="00A35FF6">
      <w:r w:rsidRPr="00D719C2">
        <w:t xml:space="preserve">The standard requires, wherever possible, retrospective application from day 1 </w:t>
      </w:r>
      <w:r w:rsidR="0023646C" w:rsidRPr="00D719C2">
        <w:t>for</w:t>
      </w:r>
      <w:r w:rsidRPr="00D719C2">
        <w:t xml:space="preserve"> all in force policies.  </w:t>
      </w:r>
      <w:r w:rsidR="0008791D" w:rsidRPr="00D719C2">
        <w:t xml:space="preserve">This step will define how any estate in the funds is treated </w:t>
      </w:r>
      <w:r w:rsidR="00870391" w:rsidRPr="00D719C2">
        <w:t xml:space="preserve">under IFRS 17 </w:t>
      </w:r>
      <w:r w:rsidR="0008791D" w:rsidRPr="00D719C2">
        <w:t xml:space="preserve">and determine the opening equity shown on the income statement.  </w:t>
      </w:r>
      <w:r w:rsidR="00B627CA">
        <w:t>It</w:t>
      </w:r>
      <w:r w:rsidR="00B627CA" w:rsidRPr="00D719C2">
        <w:t xml:space="preserve"> </w:t>
      </w:r>
      <w:r w:rsidRPr="00D719C2">
        <w:t xml:space="preserve">is a material task </w:t>
      </w:r>
      <w:r w:rsidR="00B627CA">
        <w:t>to</w:t>
      </w:r>
      <w:r w:rsidRPr="00D719C2">
        <w:t xml:space="preserve"> try to recreate a full history allowing for investment conditions, bonus scales, costs spread across funds and/or the estate</w:t>
      </w:r>
      <w:r w:rsidR="003278AA" w:rsidRPr="00D719C2">
        <w:t>.</w:t>
      </w:r>
      <w:r w:rsidRPr="00D719C2">
        <w:t xml:space="preserve"> </w:t>
      </w:r>
      <w:r w:rsidR="0023646C" w:rsidRPr="00D719C2">
        <w:t xml:space="preserve"> P</w:t>
      </w:r>
      <w:r w:rsidRPr="00D719C2">
        <w:t>olic</w:t>
      </w:r>
      <w:r w:rsidR="0023646C" w:rsidRPr="00D719C2">
        <w:t>i</w:t>
      </w:r>
      <w:r w:rsidRPr="00D719C2">
        <w:t xml:space="preserve">es </w:t>
      </w:r>
      <w:r w:rsidR="003278AA" w:rsidRPr="00D719C2">
        <w:t xml:space="preserve">are </w:t>
      </w:r>
      <w:r w:rsidR="0023646C" w:rsidRPr="00D719C2">
        <w:t xml:space="preserve">often </w:t>
      </w:r>
      <w:r w:rsidRPr="00D719C2">
        <w:t xml:space="preserve">managed on legacy administration systems that may not be flexible or well-supported.  </w:t>
      </w:r>
      <w:r w:rsidR="003278AA" w:rsidRPr="00D719C2">
        <w:t>M</w:t>
      </w:r>
      <w:r w:rsidRPr="00D719C2">
        <w:t>aterial investment in data platforms and calculation</w:t>
      </w:r>
      <w:r w:rsidR="0023646C" w:rsidRPr="00D719C2">
        <w:t xml:space="preserve"> systems</w:t>
      </w:r>
      <w:r w:rsidR="003278AA" w:rsidRPr="00D719C2">
        <w:t xml:space="preserve"> would be necessary</w:t>
      </w:r>
      <w:r w:rsidRPr="00D719C2">
        <w:t xml:space="preserve">, and so instead </w:t>
      </w:r>
      <w:r w:rsidR="0023646C" w:rsidRPr="00D719C2">
        <w:t xml:space="preserve">many firms are expected </w:t>
      </w:r>
      <w:r w:rsidRPr="00D719C2">
        <w:t xml:space="preserve">to </w:t>
      </w:r>
      <w:r w:rsidR="0023646C" w:rsidRPr="00D719C2">
        <w:t xml:space="preserve">apply the </w:t>
      </w:r>
      <w:r w:rsidRPr="00D719C2">
        <w:t>“fair value” approach</w:t>
      </w:r>
      <w:r w:rsidR="00A709FC" w:rsidRPr="00D719C2">
        <w:t xml:space="preserve"> for </w:t>
      </w:r>
      <w:proofErr w:type="gramStart"/>
      <w:r w:rsidR="00A709FC" w:rsidRPr="00D719C2">
        <w:t>their</w:t>
      </w:r>
      <w:proofErr w:type="gramEnd"/>
      <w:r w:rsidR="00A709FC" w:rsidRPr="00D719C2">
        <w:t xml:space="preserve"> with-profits business,</w:t>
      </w:r>
      <w:r w:rsidRPr="00D719C2">
        <w:t xml:space="preserve"> which will have its own challenges and may result in a </w:t>
      </w:r>
      <w:r w:rsidR="0008791D" w:rsidRPr="00D719C2">
        <w:t xml:space="preserve">higher equity value but a </w:t>
      </w:r>
      <w:r w:rsidRPr="00D719C2">
        <w:t xml:space="preserve">lower </w:t>
      </w:r>
      <w:r w:rsidR="00C27A29">
        <w:t xml:space="preserve">Contractual Service Margin </w:t>
      </w:r>
      <w:r w:rsidRPr="00D719C2">
        <w:t xml:space="preserve">at </w:t>
      </w:r>
      <w:r w:rsidR="00960AAD" w:rsidRPr="00D719C2">
        <w:t>adoption</w:t>
      </w:r>
      <w:r w:rsidR="0023646C" w:rsidRPr="00D719C2">
        <w:t>,</w:t>
      </w:r>
      <w:r w:rsidR="00960AAD" w:rsidRPr="00D719C2">
        <w:t xml:space="preserve"> </w:t>
      </w:r>
      <w:r w:rsidRPr="00D719C2">
        <w:t>and so lower future profits</w:t>
      </w:r>
      <w:r w:rsidR="003278AA" w:rsidRPr="00D719C2">
        <w:t>.</w:t>
      </w:r>
    </w:p>
    <w:p w14:paraId="59B3823D" w14:textId="77777777" w:rsidR="00995E37" w:rsidRDefault="00995E37" w:rsidP="00A35FF6">
      <w:pPr>
        <w:rPr>
          <w:b/>
        </w:rPr>
      </w:pPr>
    </w:p>
    <w:p w14:paraId="7EDFA022" w14:textId="5FD717A8" w:rsidR="00B627CA" w:rsidRPr="00A35FF6" w:rsidRDefault="003F6B3C" w:rsidP="00A35FF6">
      <w:pPr>
        <w:rPr>
          <w:b/>
        </w:rPr>
      </w:pPr>
      <w:r w:rsidRPr="00A35FF6">
        <w:rPr>
          <w:b/>
        </w:rPr>
        <w:lastRenderedPageBreak/>
        <w:t>VFA eligibility</w:t>
      </w:r>
    </w:p>
    <w:p w14:paraId="69E9FF57" w14:textId="269C93AD" w:rsidR="00E125EE" w:rsidRPr="00D719C2" w:rsidRDefault="00B627CA" w:rsidP="00A35FF6">
      <w:r>
        <w:t>W</w:t>
      </w:r>
      <w:r w:rsidR="00C11E02" w:rsidRPr="00D719C2">
        <w:t xml:space="preserve">hile </w:t>
      </w:r>
      <w:r w:rsidR="00E125EE" w:rsidRPr="00D719C2">
        <w:t xml:space="preserve">most standard UK </w:t>
      </w:r>
      <w:r w:rsidR="001D6A4A" w:rsidRPr="00D719C2">
        <w:t>with-profits</w:t>
      </w:r>
      <w:r w:rsidR="00E125EE" w:rsidRPr="00D719C2">
        <w:t xml:space="preserve"> business is expected to be eligible for </w:t>
      </w:r>
      <w:r w:rsidR="001D6A4A" w:rsidRPr="00D719C2">
        <w:t xml:space="preserve">the </w:t>
      </w:r>
      <w:r w:rsidR="00E125EE" w:rsidRPr="00D719C2">
        <w:t xml:space="preserve">VFA, there are defined criteria </w:t>
      </w:r>
      <w:r w:rsidR="00C11E02" w:rsidRPr="00D719C2">
        <w:t xml:space="preserve">and </w:t>
      </w:r>
      <w:r w:rsidR="00E125EE" w:rsidRPr="00D719C2">
        <w:t>there may</w:t>
      </w:r>
      <w:r w:rsidR="00C11E02" w:rsidRPr="00D719C2">
        <w:t xml:space="preserve"> </w:t>
      </w:r>
      <w:r w:rsidR="00E125EE" w:rsidRPr="00D719C2">
        <w:t xml:space="preserve">be some groups of contracts, </w:t>
      </w:r>
      <w:r w:rsidR="001D6A4A" w:rsidRPr="00D719C2">
        <w:t xml:space="preserve">for example </w:t>
      </w:r>
      <w:r w:rsidR="00E125EE" w:rsidRPr="00D719C2">
        <w:t>those with heavily-in-the-money guarantees</w:t>
      </w:r>
      <w:r w:rsidR="00960AAD" w:rsidRPr="00D719C2">
        <w:t>,</w:t>
      </w:r>
      <w:r w:rsidR="00C11E02" w:rsidRPr="00D719C2">
        <w:t xml:space="preserve"> which do not qualify</w:t>
      </w:r>
      <w:r w:rsidR="001D6A4A" w:rsidRPr="00D719C2">
        <w:t>,</w:t>
      </w:r>
      <w:r w:rsidR="00E125EE" w:rsidRPr="00D719C2">
        <w:t xml:space="preserve"> leading to accounting mismatches and presenting operational complexities.</w:t>
      </w:r>
    </w:p>
    <w:p w14:paraId="389B6A91" w14:textId="4F5CB304" w:rsidR="00B627CA" w:rsidRDefault="002A0128" w:rsidP="00A35FF6">
      <w:r w:rsidRPr="00A35FF6">
        <w:rPr>
          <w:b/>
        </w:rPr>
        <w:t>Level of aggregation</w:t>
      </w:r>
    </w:p>
    <w:p w14:paraId="15415330" w14:textId="20069C00" w:rsidR="009F1711" w:rsidRPr="00D719C2" w:rsidRDefault="009F1711" w:rsidP="00A35FF6">
      <w:r w:rsidRPr="00D719C2">
        <w:t>C</w:t>
      </w:r>
      <w:r w:rsidR="000A1FF8" w:rsidRPr="00D719C2">
        <w:t xml:space="preserve">ompanies may, understandably given </w:t>
      </w:r>
      <w:r w:rsidRPr="00D719C2">
        <w:t xml:space="preserve">the </w:t>
      </w:r>
      <w:r w:rsidR="000A1FF8" w:rsidRPr="00D719C2">
        <w:t>risk sharing</w:t>
      </w:r>
      <w:r w:rsidRPr="00D719C2">
        <w:t xml:space="preserve"> implicit within WPSFs</w:t>
      </w:r>
      <w:r w:rsidR="000A1FF8" w:rsidRPr="00D719C2">
        <w:t xml:space="preserve">, expect that the WPSF would form one </w:t>
      </w:r>
      <w:r w:rsidR="002A0128" w:rsidRPr="00D719C2">
        <w:t>group or “</w:t>
      </w:r>
      <w:r w:rsidR="000A1FF8" w:rsidRPr="00D719C2">
        <w:t>unit of account</w:t>
      </w:r>
      <w:r w:rsidR="002A0128" w:rsidRPr="00D719C2">
        <w:t>”</w:t>
      </w:r>
      <w:r w:rsidR="001D6A4A" w:rsidRPr="00D719C2">
        <w:t>,</w:t>
      </w:r>
      <w:r w:rsidR="002A0128" w:rsidRPr="00D719C2">
        <w:t xml:space="preserve"> which is the level </w:t>
      </w:r>
      <w:r w:rsidR="001D6A4A" w:rsidRPr="00D719C2">
        <w:t xml:space="preserve">at which </w:t>
      </w:r>
      <w:r w:rsidR="002A0128" w:rsidRPr="00D719C2">
        <w:t xml:space="preserve">an asset or liability is measured and </w:t>
      </w:r>
      <w:r w:rsidR="001D6A4A" w:rsidRPr="00D719C2">
        <w:t xml:space="preserve">which </w:t>
      </w:r>
      <w:r w:rsidR="002A0128" w:rsidRPr="00D719C2">
        <w:t>can impact the pattern of profit recognition</w:t>
      </w:r>
      <w:r w:rsidR="000A1FF8" w:rsidRPr="00D719C2">
        <w:t xml:space="preserve">. </w:t>
      </w:r>
      <w:r w:rsidR="001D6A4A" w:rsidRPr="00D719C2">
        <w:t xml:space="preserve"> However, d</w:t>
      </w:r>
      <w:r w:rsidR="000A1FF8" w:rsidRPr="00D719C2">
        <w:t>ifferent product types can be written within a WPSF</w:t>
      </w:r>
      <w:r w:rsidR="002A0128" w:rsidRPr="00D719C2">
        <w:t xml:space="preserve"> and IFRS 17 considers </w:t>
      </w:r>
      <w:r w:rsidRPr="00D719C2">
        <w:t xml:space="preserve">risks </w:t>
      </w:r>
      <w:r w:rsidR="002A0128" w:rsidRPr="00D719C2">
        <w:t xml:space="preserve">at the </w:t>
      </w:r>
      <w:r w:rsidRPr="00D719C2">
        <w:t>contract</w:t>
      </w:r>
      <w:r w:rsidR="002A0128" w:rsidRPr="00D719C2">
        <w:t xml:space="preserve"> level</w:t>
      </w:r>
      <w:r w:rsidRPr="00D719C2">
        <w:t xml:space="preserve"> and so divisions of the WPSF may be necessary</w:t>
      </w:r>
      <w:r w:rsidR="00870391" w:rsidRPr="00D719C2">
        <w:t>, increasing operational complexity</w:t>
      </w:r>
      <w:r w:rsidRPr="00D719C2">
        <w:t xml:space="preserve">. </w:t>
      </w:r>
    </w:p>
    <w:p w14:paraId="2579C6FF" w14:textId="77777777" w:rsidR="00B627CA" w:rsidRDefault="00487806" w:rsidP="00A35FF6">
      <w:pPr>
        <w:jc w:val="both"/>
      </w:pPr>
      <w:r w:rsidRPr="00A35FF6">
        <w:rPr>
          <w:b/>
        </w:rPr>
        <w:t>N</w:t>
      </w:r>
      <w:r w:rsidR="0008791D" w:rsidRPr="00A35FF6">
        <w:rPr>
          <w:b/>
        </w:rPr>
        <w:t>on-</w:t>
      </w:r>
      <w:r w:rsidRPr="00A35FF6">
        <w:rPr>
          <w:b/>
        </w:rPr>
        <w:t>P</w:t>
      </w:r>
      <w:r w:rsidR="0008791D" w:rsidRPr="00A35FF6">
        <w:rPr>
          <w:b/>
        </w:rPr>
        <w:t>rofit business</w:t>
      </w:r>
      <w:r w:rsidRPr="00A35FF6">
        <w:rPr>
          <w:b/>
        </w:rPr>
        <w:t xml:space="preserve"> in the WP fun</w:t>
      </w:r>
      <w:r w:rsidR="00B627CA">
        <w:t>d</w:t>
      </w:r>
    </w:p>
    <w:p w14:paraId="64F95174" w14:textId="3AD142DC" w:rsidR="00487806" w:rsidRPr="00D719C2" w:rsidRDefault="00487806" w:rsidP="00A35FF6">
      <w:pPr>
        <w:jc w:val="both"/>
      </w:pPr>
      <w:r w:rsidRPr="00D719C2">
        <w:t>Linked to the above point, several WPSF</w:t>
      </w:r>
      <w:r w:rsidR="001D6A4A" w:rsidRPr="00D719C2">
        <w:t>s</w:t>
      </w:r>
      <w:r w:rsidRPr="00D719C2">
        <w:t xml:space="preserve"> </w:t>
      </w:r>
      <w:r w:rsidR="00960AAD" w:rsidRPr="00D719C2">
        <w:t xml:space="preserve">have </w:t>
      </w:r>
      <w:r w:rsidRPr="00D719C2">
        <w:t xml:space="preserve">significant </w:t>
      </w:r>
      <w:r w:rsidR="001D6A4A" w:rsidRPr="00D719C2">
        <w:t xml:space="preserve">volumes of </w:t>
      </w:r>
      <w:r w:rsidRPr="00D719C2">
        <w:t>non-profit contracts within them.  Currently</w:t>
      </w:r>
      <w:r w:rsidR="00960AAD" w:rsidRPr="00D719C2">
        <w:t>,</w:t>
      </w:r>
      <w:r w:rsidRPr="00D719C2">
        <w:t xml:space="preserve"> under IFRS 4</w:t>
      </w:r>
      <w:r w:rsidR="00960AAD" w:rsidRPr="00D719C2">
        <w:t>,</w:t>
      </w:r>
      <w:r w:rsidRPr="00D719C2">
        <w:t xml:space="preserve"> profits </w:t>
      </w:r>
      <w:r w:rsidR="001D6A4A" w:rsidRPr="00D719C2">
        <w:t xml:space="preserve">on these contracts </w:t>
      </w:r>
      <w:r w:rsidRPr="00D719C2">
        <w:t xml:space="preserve">are not separately recognised but contribute to the cost of bonus. </w:t>
      </w:r>
      <w:r w:rsidR="001D6A4A" w:rsidRPr="00D719C2">
        <w:t xml:space="preserve"> </w:t>
      </w:r>
      <w:r w:rsidR="00C11E02" w:rsidRPr="00D719C2">
        <w:t>Extrapolating</w:t>
      </w:r>
      <w:r w:rsidRPr="00D719C2">
        <w:t xml:space="preserve"> </w:t>
      </w:r>
      <w:r w:rsidR="00C11E02" w:rsidRPr="00D719C2">
        <w:t xml:space="preserve">IASB-issued guidance for </w:t>
      </w:r>
      <w:r w:rsidR="00960AAD" w:rsidRPr="00D719C2">
        <w:t>m</w:t>
      </w:r>
      <w:r w:rsidR="00C11E02" w:rsidRPr="00D719C2">
        <w:t xml:space="preserve">utuals </w:t>
      </w:r>
      <w:r w:rsidR="00960AAD" w:rsidRPr="00D719C2">
        <w:t xml:space="preserve">could </w:t>
      </w:r>
      <w:r w:rsidR="00C11E02" w:rsidRPr="00D719C2">
        <w:t>mean</w:t>
      </w:r>
      <w:r w:rsidR="00960AAD" w:rsidRPr="00D719C2">
        <w:t xml:space="preserve"> that</w:t>
      </w:r>
      <w:r w:rsidRPr="00D719C2">
        <w:t xml:space="preserve"> these contracts </w:t>
      </w:r>
      <w:r w:rsidR="00C11E02" w:rsidRPr="00D719C2">
        <w:t xml:space="preserve">are </w:t>
      </w:r>
      <w:r w:rsidRPr="00D719C2">
        <w:t>not eligible for the VFA and will generate a profit directly onto the income statement</w:t>
      </w:r>
      <w:r w:rsidR="003672B9" w:rsidRPr="00D719C2">
        <w:t xml:space="preserve"> despite only a portion being eligible to shareholders</w:t>
      </w:r>
      <w:r w:rsidR="00C11E02" w:rsidRPr="00D719C2">
        <w:t xml:space="preserve">. </w:t>
      </w:r>
      <w:r w:rsidR="00960AAD" w:rsidRPr="00D719C2">
        <w:t xml:space="preserve"> </w:t>
      </w:r>
      <w:r w:rsidR="00C11E02" w:rsidRPr="00D719C2">
        <w:t>T</w:t>
      </w:r>
      <w:r w:rsidRPr="00D719C2">
        <w:t>his</w:t>
      </w:r>
      <w:r w:rsidR="00C11E02" w:rsidRPr="00D719C2">
        <w:t>,</w:t>
      </w:r>
      <w:r w:rsidRPr="00D719C2">
        <w:t xml:space="preserve"> </w:t>
      </w:r>
      <w:r w:rsidR="00273D5D" w:rsidRPr="00D719C2">
        <w:t>at a minimum</w:t>
      </w:r>
      <w:r w:rsidR="00C11E02" w:rsidRPr="00D719C2">
        <w:t>,</w:t>
      </w:r>
      <w:r w:rsidR="00273D5D" w:rsidRPr="00D719C2">
        <w:t xml:space="preserve"> </w:t>
      </w:r>
      <w:r w:rsidRPr="00D719C2">
        <w:t xml:space="preserve">raises </w:t>
      </w:r>
      <w:r w:rsidR="00273D5D" w:rsidRPr="00D719C2">
        <w:t xml:space="preserve">communication </w:t>
      </w:r>
      <w:r w:rsidRPr="00D719C2">
        <w:t>concerns</w:t>
      </w:r>
      <w:r w:rsidR="00273D5D" w:rsidRPr="00D719C2">
        <w:t xml:space="preserve"> as the profits released by this business will be owned by the entity rather than shareholders. </w:t>
      </w:r>
    </w:p>
    <w:p w14:paraId="62DAAE61" w14:textId="2D68F24B" w:rsidR="00071FCE" w:rsidRPr="00A35FF6" w:rsidRDefault="00071FCE" w:rsidP="00A35FF6">
      <w:pPr>
        <w:rPr>
          <w:b/>
        </w:rPr>
      </w:pPr>
      <w:r w:rsidRPr="00A35FF6">
        <w:rPr>
          <w:b/>
        </w:rPr>
        <w:t>Other considerations</w:t>
      </w:r>
    </w:p>
    <w:p w14:paraId="48E3480A" w14:textId="5C39A6B8" w:rsidR="00961630" w:rsidRDefault="00961630" w:rsidP="00961630">
      <w:pPr>
        <w:jc w:val="both"/>
      </w:pPr>
      <w:r w:rsidRPr="00D719C2">
        <w:t>A large number of UK with-profits funds are closed (or materially closed) to new business, and so firms may have little appetite to spend significant time and effort focusing on IFRS 17 when the current management for most funds is driven by capital.  However, IFRS 17 is a principles-based standard and so gives rise to several areas of uncertainty and complexity for with-profits business which is expected to drive up implementation costs whilst, it has been argued, providing an unclear benefit to the users of financial statements.</w:t>
      </w:r>
    </w:p>
    <w:p w14:paraId="69EEEE4F" w14:textId="77777777" w:rsidR="00A12DD1" w:rsidRPr="00A21137" w:rsidRDefault="00A12DD1" w:rsidP="00A12DD1">
      <w:pPr>
        <w:rPr>
          <w:b/>
        </w:rPr>
      </w:pPr>
      <w:r w:rsidRPr="00A21137">
        <w:rPr>
          <w:b/>
        </w:rPr>
        <w:t>Summary</w:t>
      </w:r>
    </w:p>
    <w:p w14:paraId="0730BDEB" w14:textId="68CCD275" w:rsidR="00071FCE" w:rsidRDefault="00654F3D" w:rsidP="005E7BCE">
      <w:pPr>
        <w:pStyle w:val="ListParagraph"/>
        <w:ind w:left="0"/>
        <w:jc w:val="both"/>
      </w:pPr>
      <w:r w:rsidRPr="00D719C2">
        <w:t xml:space="preserve">In summary, UK with-profits firms have several complex methodology and design decisions to make </w:t>
      </w:r>
      <w:r w:rsidR="002A0128" w:rsidRPr="00D719C2">
        <w:t>this year</w:t>
      </w:r>
      <w:r w:rsidR="00E125EE" w:rsidRPr="00D719C2">
        <w:t xml:space="preserve"> to prepare for IFRS 17. </w:t>
      </w:r>
      <w:r w:rsidR="0023646C" w:rsidRPr="00D719C2">
        <w:t xml:space="preserve"> </w:t>
      </w:r>
      <w:r w:rsidR="00E125EE" w:rsidRPr="00D719C2">
        <w:t>These</w:t>
      </w:r>
      <w:r w:rsidR="00AB17C3" w:rsidRPr="00D719C2">
        <w:t xml:space="preserve"> </w:t>
      </w:r>
      <w:r w:rsidRPr="00D719C2">
        <w:t xml:space="preserve">will have lasting </w:t>
      </w:r>
      <w:r w:rsidR="00E125EE" w:rsidRPr="00D719C2">
        <w:t xml:space="preserve">business implications; </w:t>
      </w:r>
      <w:r w:rsidRPr="00D719C2">
        <w:t xml:space="preserve">impacts </w:t>
      </w:r>
      <w:r w:rsidR="00F53E33" w:rsidRPr="00D719C2">
        <w:t>on</w:t>
      </w:r>
      <w:r w:rsidRPr="00D719C2">
        <w:t xml:space="preserve"> the market</w:t>
      </w:r>
      <w:r w:rsidR="00413130">
        <w:t>'</w:t>
      </w:r>
      <w:r w:rsidRPr="00D719C2">
        <w:t xml:space="preserve">s view of WP funds, </w:t>
      </w:r>
      <w:r w:rsidR="00E944DC" w:rsidRPr="00D719C2">
        <w:t xml:space="preserve">the </w:t>
      </w:r>
      <w:r w:rsidRPr="00D719C2">
        <w:t xml:space="preserve">attractiveness of future WP business, </w:t>
      </w:r>
      <w:r w:rsidR="00413130">
        <w:t>as</w:t>
      </w:r>
      <w:r w:rsidRPr="00D719C2">
        <w:t xml:space="preserve"> well as process and operational considerations.</w:t>
      </w:r>
      <w:r w:rsidR="00487806" w:rsidRPr="00D719C2">
        <w:t xml:space="preserve"> </w:t>
      </w:r>
      <w:r w:rsidR="0023646C" w:rsidRPr="00D719C2">
        <w:t xml:space="preserve"> </w:t>
      </w:r>
      <w:r w:rsidR="007B0C50" w:rsidRPr="00D719C2">
        <w:t xml:space="preserve">There is little clarity on these issues, and they may not </w:t>
      </w:r>
      <w:r w:rsidR="005E7BCE" w:rsidRPr="00D719C2">
        <w:t>meet the criteria</w:t>
      </w:r>
      <w:r w:rsidR="007B0C50" w:rsidRPr="00D719C2">
        <w:t xml:space="preserve"> to warrant IASB intervention. </w:t>
      </w:r>
      <w:r w:rsidR="0023646C" w:rsidRPr="00D719C2">
        <w:t xml:space="preserve"> </w:t>
      </w:r>
      <w:r w:rsidR="007B16C3" w:rsidRPr="00D719C2">
        <w:t xml:space="preserve">The UK accounting and actuarial professions are taking steps to better understand the issues with a view to providing guidelines for sensible treatment. </w:t>
      </w:r>
      <w:r w:rsidR="00E944DC" w:rsidRPr="00D719C2">
        <w:t xml:space="preserve"> </w:t>
      </w:r>
    </w:p>
    <w:p w14:paraId="58F09418" w14:textId="77777777" w:rsidR="00B627CA" w:rsidRDefault="00B627CA" w:rsidP="005E7BCE">
      <w:pPr>
        <w:pStyle w:val="ListParagraph"/>
        <w:ind w:left="0"/>
        <w:jc w:val="both"/>
      </w:pPr>
    </w:p>
    <w:p w14:paraId="5C3494C7" w14:textId="14B2B018" w:rsidR="00B627CA" w:rsidRPr="00A35FF6" w:rsidRDefault="007B16C3" w:rsidP="00A35FF6">
      <w:pPr>
        <w:pStyle w:val="ListParagraph"/>
        <w:ind w:left="0"/>
        <w:jc w:val="both"/>
      </w:pPr>
      <w:r w:rsidRPr="00D719C2">
        <w:t xml:space="preserve">Further articles </w:t>
      </w:r>
      <w:r w:rsidR="005E2539" w:rsidRPr="00D719C2">
        <w:t>from the IFRS 17</w:t>
      </w:r>
      <w:r w:rsidR="00413130">
        <w:t>:</w:t>
      </w:r>
      <w:r w:rsidR="005E2539" w:rsidRPr="00D719C2">
        <w:t xml:space="preserve"> Transversal Working Party </w:t>
      </w:r>
      <w:r w:rsidRPr="00D719C2">
        <w:t>will discuss these and other with-profits issues further</w:t>
      </w:r>
      <w:r w:rsidR="00071FCE">
        <w:t xml:space="preserve">, see </w:t>
      </w:r>
      <w:hyperlink r:id="rId11" w:history="1">
        <w:r w:rsidR="00967E49">
          <w:rPr>
            <w:rStyle w:val="Hyperlink"/>
          </w:rPr>
          <w:t>https://www.actuaries.org.uk/practice-areas/life/research-working-parties/ifrs-17-transversal</w:t>
        </w:r>
      </w:hyperlink>
      <w:r w:rsidR="004B14E9">
        <w:t xml:space="preserve"> </w:t>
      </w:r>
      <w:r w:rsidR="00071FCE">
        <w:t>for details</w:t>
      </w:r>
      <w:r w:rsidRPr="00D719C2">
        <w:t>.</w:t>
      </w:r>
      <w:r w:rsidR="00B627CA">
        <w:t xml:space="preserve">  </w:t>
      </w:r>
    </w:p>
    <w:p w14:paraId="6CA6F5E7" w14:textId="77777777" w:rsidR="00B627CA" w:rsidRPr="00D719C2" w:rsidRDefault="00B627CA" w:rsidP="005E7BCE">
      <w:pPr>
        <w:pStyle w:val="ListParagraph"/>
        <w:ind w:left="0"/>
        <w:jc w:val="both"/>
      </w:pPr>
    </w:p>
    <w:sectPr w:rsidR="00B627CA" w:rsidRPr="00D719C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5671B" w14:textId="77777777" w:rsidR="001E1112" w:rsidRDefault="001E1112" w:rsidP="002073EF">
      <w:pPr>
        <w:spacing w:after="0" w:line="240" w:lineRule="auto"/>
      </w:pPr>
      <w:r>
        <w:separator/>
      </w:r>
    </w:p>
  </w:endnote>
  <w:endnote w:type="continuationSeparator" w:id="0">
    <w:p w14:paraId="2176E20D" w14:textId="77777777" w:rsidR="001E1112" w:rsidRDefault="001E1112" w:rsidP="002073EF">
      <w:pPr>
        <w:spacing w:after="0" w:line="240" w:lineRule="auto"/>
      </w:pPr>
      <w:r>
        <w:continuationSeparator/>
      </w:r>
    </w:p>
  </w:endnote>
  <w:endnote w:type="continuationNotice" w:id="1">
    <w:p w14:paraId="48D9CC8E" w14:textId="77777777" w:rsidR="001E1112" w:rsidRDefault="001E1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33481" w14:textId="77777777" w:rsidR="008E2C77" w:rsidRDefault="008E2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F9A30" w14:textId="77777777" w:rsidR="004D288F" w:rsidRDefault="004D2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A1A54" w14:textId="77777777" w:rsidR="008E2C77" w:rsidRDefault="008E2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73EC8" w14:textId="77777777" w:rsidR="001E1112" w:rsidRDefault="001E1112" w:rsidP="002073EF">
      <w:pPr>
        <w:spacing w:after="0" w:line="240" w:lineRule="auto"/>
      </w:pPr>
      <w:r>
        <w:separator/>
      </w:r>
    </w:p>
  </w:footnote>
  <w:footnote w:type="continuationSeparator" w:id="0">
    <w:p w14:paraId="2266AB6B" w14:textId="77777777" w:rsidR="001E1112" w:rsidRDefault="001E1112" w:rsidP="002073EF">
      <w:pPr>
        <w:spacing w:after="0" w:line="240" w:lineRule="auto"/>
      </w:pPr>
      <w:r>
        <w:continuationSeparator/>
      </w:r>
    </w:p>
  </w:footnote>
  <w:footnote w:type="continuationNotice" w:id="1">
    <w:p w14:paraId="1DC925EF" w14:textId="77777777" w:rsidR="001E1112" w:rsidRDefault="001E11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9E75" w14:textId="77777777" w:rsidR="008E2C77" w:rsidRDefault="008E2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93805" w14:textId="77777777" w:rsidR="004D288F" w:rsidRDefault="004D2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5944A" w14:textId="77777777" w:rsidR="008E2C77" w:rsidRDefault="008E2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C51E9"/>
    <w:multiLevelType w:val="hybridMultilevel"/>
    <w:tmpl w:val="9EFCB338"/>
    <w:lvl w:ilvl="0" w:tplc="B18A7A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43C30"/>
    <w:multiLevelType w:val="hybridMultilevel"/>
    <w:tmpl w:val="A022D3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03627D"/>
    <w:multiLevelType w:val="hybridMultilevel"/>
    <w:tmpl w:val="460E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E72AB"/>
    <w:multiLevelType w:val="hybridMultilevel"/>
    <w:tmpl w:val="431AC3E8"/>
    <w:lvl w:ilvl="0" w:tplc="F17CBC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2867DE"/>
    <w:multiLevelType w:val="hybridMultilevel"/>
    <w:tmpl w:val="1F0A0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FF0AB7"/>
    <w:multiLevelType w:val="hybridMultilevel"/>
    <w:tmpl w:val="A1CA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C3FE1"/>
    <w:multiLevelType w:val="hybridMultilevel"/>
    <w:tmpl w:val="A54C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1363EB"/>
    <w:multiLevelType w:val="hybridMultilevel"/>
    <w:tmpl w:val="E3109238"/>
    <w:lvl w:ilvl="0" w:tplc="0C5449CC">
      <w:start w:val="1"/>
      <w:numFmt w:val="bullet"/>
      <w:lvlText w:val="•"/>
      <w:lvlJc w:val="left"/>
      <w:pPr>
        <w:tabs>
          <w:tab w:val="num" w:pos="720"/>
        </w:tabs>
        <w:ind w:left="720" w:hanging="360"/>
      </w:pPr>
      <w:rPr>
        <w:rFonts w:ascii="Arial" w:hAnsi="Arial" w:hint="default"/>
      </w:rPr>
    </w:lvl>
    <w:lvl w:ilvl="1" w:tplc="9E465BAC" w:tentative="1">
      <w:start w:val="1"/>
      <w:numFmt w:val="bullet"/>
      <w:lvlText w:val="•"/>
      <w:lvlJc w:val="left"/>
      <w:pPr>
        <w:tabs>
          <w:tab w:val="num" w:pos="1440"/>
        </w:tabs>
        <w:ind w:left="1440" w:hanging="360"/>
      </w:pPr>
      <w:rPr>
        <w:rFonts w:ascii="Arial" w:hAnsi="Arial" w:hint="default"/>
      </w:rPr>
    </w:lvl>
    <w:lvl w:ilvl="2" w:tplc="411ACC4E" w:tentative="1">
      <w:start w:val="1"/>
      <w:numFmt w:val="bullet"/>
      <w:lvlText w:val="•"/>
      <w:lvlJc w:val="left"/>
      <w:pPr>
        <w:tabs>
          <w:tab w:val="num" w:pos="2160"/>
        </w:tabs>
        <w:ind w:left="2160" w:hanging="360"/>
      </w:pPr>
      <w:rPr>
        <w:rFonts w:ascii="Arial" w:hAnsi="Arial" w:hint="default"/>
      </w:rPr>
    </w:lvl>
    <w:lvl w:ilvl="3" w:tplc="6A084090" w:tentative="1">
      <w:start w:val="1"/>
      <w:numFmt w:val="bullet"/>
      <w:lvlText w:val="•"/>
      <w:lvlJc w:val="left"/>
      <w:pPr>
        <w:tabs>
          <w:tab w:val="num" w:pos="2880"/>
        </w:tabs>
        <w:ind w:left="2880" w:hanging="360"/>
      </w:pPr>
      <w:rPr>
        <w:rFonts w:ascii="Arial" w:hAnsi="Arial" w:hint="default"/>
      </w:rPr>
    </w:lvl>
    <w:lvl w:ilvl="4" w:tplc="56627C3E" w:tentative="1">
      <w:start w:val="1"/>
      <w:numFmt w:val="bullet"/>
      <w:lvlText w:val="•"/>
      <w:lvlJc w:val="left"/>
      <w:pPr>
        <w:tabs>
          <w:tab w:val="num" w:pos="3600"/>
        </w:tabs>
        <w:ind w:left="3600" w:hanging="360"/>
      </w:pPr>
      <w:rPr>
        <w:rFonts w:ascii="Arial" w:hAnsi="Arial" w:hint="default"/>
      </w:rPr>
    </w:lvl>
    <w:lvl w:ilvl="5" w:tplc="C96EFD42" w:tentative="1">
      <w:start w:val="1"/>
      <w:numFmt w:val="bullet"/>
      <w:lvlText w:val="•"/>
      <w:lvlJc w:val="left"/>
      <w:pPr>
        <w:tabs>
          <w:tab w:val="num" w:pos="4320"/>
        </w:tabs>
        <w:ind w:left="4320" w:hanging="360"/>
      </w:pPr>
      <w:rPr>
        <w:rFonts w:ascii="Arial" w:hAnsi="Arial" w:hint="default"/>
      </w:rPr>
    </w:lvl>
    <w:lvl w:ilvl="6" w:tplc="5866B0BC" w:tentative="1">
      <w:start w:val="1"/>
      <w:numFmt w:val="bullet"/>
      <w:lvlText w:val="•"/>
      <w:lvlJc w:val="left"/>
      <w:pPr>
        <w:tabs>
          <w:tab w:val="num" w:pos="5040"/>
        </w:tabs>
        <w:ind w:left="5040" w:hanging="360"/>
      </w:pPr>
      <w:rPr>
        <w:rFonts w:ascii="Arial" w:hAnsi="Arial" w:hint="default"/>
      </w:rPr>
    </w:lvl>
    <w:lvl w:ilvl="7" w:tplc="9D0A12FC" w:tentative="1">
      <w:start w:val="1"/>
      <w:numFmt w:val="bullet"/>
      <w:lvlText w:val="•"/>
      <w:lvlJc w:val="left"/>
      <w:pPr>
        <w:tabs>
          <w:tab w:val="num" w:pos="5760"/>
        </w:tabs>
        <w:ind w:left="5760" w:hanging="360"/>
      </w:pPr>
      <w:rPr>
        <w:rFonts w:ascii="Arial" w:hAnsi="Arial" w:hint="default"/>
      </w:rPr>
    </w:lvl>
    <w:lvl w:ilvl="8" w:tplc="CB3EA8A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7753AC0"/>
    <w:multiLevelType w:val="hybridMultilevel"/>
    <w:tmpl w:val="4C18C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DD4A27"/>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3"/>
  </w:num>
  <w:num w:numId="2">
    <w:abstractNumId w:val="8"/>
  </w:num>
  <w:num w:numId="3">
    <w:abstractNumId w:val="9"/>
  </w:num>
  <w:num w:numId="4">
    <w:abstractNumId w:val="0"/>
  </w:num>
  <w:num w:numId="5">
    <w:abstractNumId w:val="7"/>
  </w:num>
  <w:num w:numId="6">
    <w:abstractNumId w:val="5"/>
  </w:num>
  <w:num w:numId="7">
    <w:abstractNumId w:val="1"/>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EF"/>
    <w:rsid w:val="00016162"/>
    <w:rsid w:val="0005038C"/>
    <w:rsid w:val="00071FCE"/>
    <w:rsid w:val="0008791D"/>
    <w:rsid w:val="000A1FF8"/>
    <w:rsid w:val="000B570D"/>
    <w:rsid w:val="000D4EBE"/>
    <w:rsid w:val="000E0440"/>
    <w:rsid w:val="0013723B"/>
    <w:rsid w:val="00142F6C"/>
    <w:rsid w:val="00151DD4"/>
    <w:rsid w:val="00164EEF"/>
    <w:rsid w:val="001760A1"/>
    <w:rsid w:val="001C6A2B"/>
    <w:rsid w:val="001D6A4A"/>
    <w:rsid w:val="001E0342"/>
    <w:rsid w:val="001E1112"/>
    <w:rsid w:val="001E2404"/>
    <w:rsid w:val="001E2855"/>
    <w:rsid w:val="001E335B"/>
    <w:rsid w:val="001E53CE"/>
    <w:rsid w:val="002073EF"/>
    <w:rsid w:val="00224C21"/>
    <w:rsid w:val="0023646C"/>
    <w:rsid w:val="00242783"/>
    <w:rsid w:val="00263CC1"/>
    <w:rsid w:val="0027325C"/>
    <w:rsid w:val="00273D5D"/>
    <w:rsid w:val="00275D81"/>
    <w:rsid w:val="00281B66"/>
    <w:rsid w:val="002874A9"/>
    <w:rsid w:val="002A0128"/>
    <w:rsid w:val="002A3948"/>
    <w:rsid w:val="002B2745"/>
    <w:rsid w:val="002C1083"/>
    <w:rsid w:val="002E4560"/>
    <w:rsid w:val="00314B61"/>
    <w:rsid w:val="003155F4"/>
    <w:rsid w:val="003278AA"/>
    <w:rsid w:val="00331CA7"/>
    <w:rsid w:val="00333378"/>
    <w:rsid w:val="0034777B"/>
    <w:rsid w:val="0035348C"/>
    <w:rsid w:val="003672B9"/>
    <w:rsid w:val="00377BD6"/>
    <w:rsid w:val="00393716"/>
    <w:rsid w:val="003C618D"/>
    <w:rsid w:val="003F6B3C"/>
    <w:rsid w:val="00406768"/>
    <w:rsid w:val="00413130"/>
    <w:rsid w:val="004536A3"/>
    <w:rsid w:val="004667E6"/>
    <w:rsid w:val="00487806"/>
    <w:rsid w:val="004928AE"/>
    <w:rsid w:val="004A0297"/>
    <w:rsid w:val="004B14E9"/>
    <w:rsid w:val="004B62D9"/>
    <w:rsid w:val="004D288F"/>
    <w:rsid w:val="004D3343"/>
    <w:rsid w:val="004E6B3D"/>
    <w:rsid w:val="0053752E"/>
    <w:rsid w:val="00566EED"/>
    <w:rsid w:val="005E2539"/>
    <w:rsid w:val="005E7BCE"/>
    <w:rsid w:val="005F3F63"/>
    <w:rsid w:val="005F5BAE"/>
    <w:rsid w:val="00627CFE"/>
    <w:rsid w:val="00642775"/>
    <w:rsid w:val="00654F3D"/>
    <w:rsid w:val="006750D5"/>
    <w:rsid w:val="006A3A10"/>
    <w:rsid w:val="006D6AB0"/>
    <w:rsid w:val="006E5B3D"/>
    <w:rsid w:val="00724569"/>
    <w:rsid w:val="0077145F"/>
    <w:rsid w:val="00772CB6"/>
    <w:rsid w:val="00795FB2"/>
    <w:rsid w:val="007A43C7"/>
    <w:rsid w:val="007A45B1"/>
    <w:rsid w:val="007B0C50"/>
    <w:rsid w:val="007B16C3"/>
    <w:rsid w:val="007B19E1"/>
    <w:rsid w:val="007B3358"/>
    <w:rsid w:val="007E199E"/>
    <w:rsid w:val="007F0726"/>
    <w:rsid w:val="008046C6"/>
    <w:rsid w:val="008267A9"/>
    <w:rsid w:val="00834F04"/>
    <w:rsid w:val="00841CB2"/>
    <w:rsid w:val="0085633C"/>
    <w:rsid w:val="00870391"/>
    <w:rsid w:val="0087664F"/>
    <w:rsid w:val="008A6CE9"/>
    <w:rsid w:val="008E2C77"/>
    <w:rsid w:val="008F3289"/>
    <w:rsid w:val="008F3FA9"/>
    <w:rsid w:val="00906EC3"/>
    <w:rsid w:val="00910B54"/>
    <w:rsid w:val="00914074"/>
    <w:rsid w:val="00927B14"/>
    <w:rsid w:val="00960AAD"/>
    <w:rsid w:val="00961630"/>
    <w:rsid w:val="00967E49"/>
    <w:rsid w:val="00995E37"/>
    <w:rsid w:val="009960E6"/>
    <w:rsid w:val="00997FB7"/>
    <w:rsid w:val="009A2887"/>
    <w:rsid w:val="009A71D5"/>
    <w:rsid w:val="009B6097"/>
    <w:rsid w:val="009E3C90"/>
    <w:rsid w:val="009F1711"/>
    <w:rsid w:val="009F2D25"/>
    <w:rsid w:val="009F4595"/>
    <w:rsid w:val="009F4F8F"/>
    <w:rsid w:val="00A11F1A"/>
    <w:rsid w:val="00A1298B"/>
    <w:rsid w:val="00A12DD1"/>
    <w:rsid w:val="00A35FF6"/>
    <w:rsid w:val="00A63709"/>
    <w:rsid w:val="00A709FC"/>
    <w:rsid w:val="00AB0530"/>
    <w:rsid w:val="00AB17C3"/>
    <w:rsid w:val="00AC1E68"/>
    <w:rsid w:val="00AD4B9A"/>
    <w:rsid w:val="00AF1E02"/>
    <w:rsid w:val="00B12B8B"/>
    <w:rsid w:val="00B155C6"/>
    <w:rsid w:val="00B43791"/>
    <w:rsid w:val="00B627CA"/>
    <w:rsid w:val="00B62CE5"/>
    <w:rsid w:val="00B7429C"/>
    <w:rsid w:val="00B95366"/>
    <w:rsid w:val="00BA6648"/>
    <w:rsid w:val="00BE0056"/>
    <w:rsid w:val="00BF07BE"/>
    <w:rsid w:val="00C04399"/>
    <w:rsid w:val="00C06CF9"/>
    <w:rsid w:val="00C11E02"/>
    <w:rsid w:val="00C26A44"/>
    <w:rsid w:val="00C27A29"/>
    <w:rsid w:val="00C8272C"/>
    <w:rsid w:val="00CA373C"/>
    <w:rsid w:val="00CA726A"/>
    <w:rsid w:val="00CE31EA"/>
    <w:rsid w:val="00D00F1B"/>
    <w:rsid w:val="00D10A26"/>
    <w:rsid w:val="00D255D8"/>
    <w:rsid w:val="00D271AD"/>
    <w:rsid w:val="00D3014D"/>
    <w:rsid w:val="00D55B97"/>
    <w:rsid w:val="00D719C2"/>
    <w:rsid w:val="00DB310B"/>
    <w:rsid w:val="00DC1887"/>
    <w:rsid w:val="00DC5066"/>
    <w:rsid w:val="00E125EE"/>
    <w:rsid w:val="00E944DC"/>
    <w:rsid w:val="00EA6DA3"/>
    <w:rsid w:val="00EB5FAB"/>
    <w:rsid w:val="00EC14F5"/>
    <w:rsid w:val="00EC6725"/>
    <w:rsid w:val="00EF7C1A"/>
    <w:rsid w:val="00F068CE"/>
    <w:rsid w:val="00F1296C"/>
    <w:rsid w:val="00F21B6F"/>
    <w:rsid w:val="00F370A8"/>
    <w:rsid w:val="00F5304F"/>
    <w:rsid w:val="00F53E33"/>
    <w:rsid w:val="00FA2A7D"/>
    <w:rsid w:val="00FA2E1B"/>
    <w:rsid w:val="00FA3656"/>
    <w:rsid w:val="00FD4733"/>
    <w:rsid w:val="00FF467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EBF17"/>
  <w15:docId w15:val="{3C4A5A9F-2414-4E80-BDF8-CC03A14A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3EF"/>
    <w:pPr>
      <w:ind w:left="720"/>
      <w:contextualSpacing/>
    </w:pPr>
  </w:style>
  <w:style w:type="character" w:styleId="CommentReference">
    <w:name w:val="annotation reference"/>
    <w:basedOn w:val="DefaultParagraphFont"/>
    <w:uiPriority w:val="99"/>
    <w:semiHidden/>
    <w:unhideWhenUsed/>
    <w:rsid w:val="004D288F"/>
    <w:rPr>
      <w:sz w:val="16"/>
      <w:szCs w:val="16"/>
    </w:rPr>
  </w:style>
  <w:style w:type="paragraph" w:styleId="CommentText">
    <w:name w:val="annotation text"/>
    <w:basedOn w:val="Normal"/>
    <w:link w:val="CommentTextChar"/>
    <w:uiPriority w:val="99"/>
    <w:semiHidden/>
    <w:unhideWhenUsed/>
    <w:rsid w:val="004D288F"/>
    <w:pPr>
      <w:spacing w:line="240" w:lineRule="auto"/>
    </w:pPr>
    <w:rPr>
      <w:sz w:val="20"/>
      <w:szCs w:val="20"/>
    </w:rPr>
  </w:style>
  <w:style w:type="character" w:customStyle="1" w:styleId="CommentTextChar">
    <w:name w:val="Comment Text Char"/>
    <w:basedOn w:val="DefaultParagraphFont"/>
    <w:link w:val="CommentText"/>
    <w:uiPriority w:val="99"/>
    <w:semiHidden/>
    <w:rsid w:val="004D288F"/>
    <w:rPr>
      <w:sz w:val="20"/>
      <w:szCs w:val="20"/>
    </w:rPr>
  </w:style>
  <w:style w:type="paragraph" w:styleId="CommentSubject">
    <w:name w:val="annotation subject"/>
    <w:basedOn w:val="CommentText"/>
    <w:next w:val="CommentText"/>
    <w:link w:val="CommentSubjectChar"/>
    <w:uiPriority w:val="99"/>
    <w:semiHidden/>
    <w:unhideWhenUsed/>
    <w:rsid w:val="004D288F"/>
    <w:rPr>
      <w:b/>
      <w:bCs/>
    </w:rPr>
  </w:style>
  <w:style w:type="character" w:customStyle="1" w:styleId="CommentSubjectChar">
    <w:name w:val="Comment Subject Char"/>
    <w:basedOn w:val="CommentTextChar"/>
    <w:link w:val="CommentSubject"/>
    <w:uiPriority w:val="99"/>
    <w:semiHidden/>
    <w:rsid w:val="004D288F"/>
    <w:rPr>
      <w:b/>
      <w:bCs/>
      <w:sz w:val="20"/>
      <w:szCs w:val="20"/>
    </w:rPr>
  </w:style>
  <w:style w:type="paragraph" w:styleId="BalloonText">
    <w:name w:val="Balloon Text"/>
    <w:basedOn w:val="Normal"/>
    <w:link w:val="BalloonTextChar"/>
    <w:uiPriority w:val="99"/>
    <w:semiHidden/>
    <w:unhideWhenUsed/>
    <w:rsid w:val="004D2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88F"/>
    <w:rPr>
      <w:rFonts w:ascii="Segoe UI" w:hAnsi="Segoe UI" w:cs="Segoe UI"/>
      <w:sz w:val="18"/>
      <w:szCs w:val="18"/>
    </w:rPr>
  </w:style>
  <w:style w:type="table" w:styleId="TableGrid">
    <w:name w:val="Table Grid"/>
    <w:basedOn w:val="TableNormal"/>
    <w:uiPriority w:val="39"/>
    <w:rsid w:val="004D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4D288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D2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88F"/>
  </w:style>
  <w:style w:type="paragraph" w:styleId="Footer">
    <w:name w:val="footer"/>
    <w:basedOn w:val="Normal"/>
    <w:link w:val="FooterChar"/>
    <w:uiPriority w:val="99"/>
    <w:unhideWhenUsed/>
    <w:rsid w:val="004D2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88F"/>
  </w:style>
  <w:style w:type="paragraph" w:styleId="Revision">
    <w:name w:val="Revision"/>
    <w:hidden/>
    <w:uiPriority w:val="99"/>
    <w:semiHidden/>
    <w:rsid w:val="004D288F"/>
    <w:pPr>
      <w:spacing w:after="0" w:line="240" w:lineRule="auto"/>
    </w:pPr>
  </w:style>
  <w:style w:type="paragraph" w:styleId="FootnoteText">
    <w:name w:val="footnote text"/>
    <w:basedOn w:val="Normal"/>
    <w:link w:val="FootnoteTextChar"/>
    <w:uiPriority w:val="99"/>
    <w:semiHidden/>
    <w:unhideWhenUsed/>
    <w:rsid w:val="004878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7806"/>
    <w:rPr>
      <w:sz w:val="20"/>
      <w:szCs w:val="20"/>
    </w:rPr>
  </w:style>
  <w:style w:type="character" w:styleId="FootnoteReference">
    <w:name w:val="footnote reference"/>
    <w:basedOn w:val="DefaultParagraphFont"/>
    <w:uiPriority w:val="99"/>
    <w:semiHidden/>
    <w:unhideWhenUsed/>
    <w:rsid w:val="00487806"/>
    <w:rPr>
      <w:vertAlign w:val="superscript"/>
    </w:rPr>
  </w:style>
  <w:style w:type="character" w:styleId="Hyperlink">
    <w:name w:val="Hyperlink"/>
    <w:basedOn w:val="DefaultParagraphFont"/>
    <w:uiPriority w:val="99"/>
    <w:semiHidden/>
    <w:unhideWhenUsed/>
    <w:rsid w:val="004B14E9"/>
    <w:rPr>
      <w:color w:val="0563C1" w:themeColor="hyperlink"/>
      <w:u w:val="single"/>
    </w:rPr>
  </w:style>
  <w:style w:type="character" w:styleId="FollowedHyperlink">
    <w:name w:val="FollowedHyperlink"/>
    <w:basedOn w:val="DefaultParagraphFont"/>
    <w:uiPriority w:val="99"/>
    <w:semiHidden/>
    <w:unhideWhenUsed/>
    <w:rsid w:val="004B14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uaries.org.uk/practice-areas/life/research-working-parties/ifrs-17-transversa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2AD1EB3BBDB74FB27488D44E660825" ma:contentTypeVersion="9" ma:contentTypeDescription="Create a new document." ma:contentTypeScope="" ma:versionID="6138a29c55a3ad5dca8e64da05961a4a">
  <xsd:schema xmlns:xsd="http://www.w3.org/2001/XMLSchema" xmlns:xs="http://www.w3.org/2001/XMLSchema" xmlns:p="http://schemas.microsoft.com/office/2006/metadata/properties" xmlns:ns3="9a9fe7bd-516a-485e-b868-f9fdce01181b" xmlns:ns4="3833d2c0-44c6-4e2f-b919-7e796fa7c3ee" targetNamespace="http://schemas.microsoft.com/office/2006/metadata/properties" ma:root="true" ma:fieldsID="967e047c0962188fbce9de443c22029e" ns3:_="" ns4:_="">
    <xsd:import namespace="9a9fe7bd-516a-485e-b868-f9fdce01181b"/>
    <xsd:import namespace="3833d2c0-44c6-4e2f-b919-7e796fa7c3e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fe7bd-516a-485e-b868-f9fdce0118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3d2c0-44c6-4e2f-b919-7e796fa7c3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A338D-CE69-4DA2-A0C5-6F05A729FB12}">
  <ds:schemaRefs>
    <ds:schemaRef ds:uri="http://schemas.microsoft.com/sharepoint/v3/contenttype/forms"/>
  </ds:schemaRefs>
</ds:datastoreItem>
</file>

<file path=customXml/itemProps2.xml><?xml version="1.0" encoding="utf-8"?>
<ds:datastoreItem xmlns:ds="http://schemas.openxmlformats.org/officeDocument/2006/customXml" ds:itemID="{1491206E-F741-40E2-AC0D-08D9D0C14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fe7bd-516a-485e-b868-f9fdce01181b"/>
    <ds:schemaRef ds:uri="3833d2c0-44c6-4e2f-b919-7e796fa7c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F06F9-E93B-4855-A5CF-F60FE52926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B680AB-5B93-4937-98CF-79FDD33D9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974</Words>
  <Characters>5328</Characters>
  <Application>Microsoft Office Word</Application>
  <DocSecurity>0</DocSecurity>
  <Lines>78</Lines>
  <Paragraphs>32</Paragraphs>
  <ScaleCrop>false</ScaleCrop>
  <HeadingPairs>
    <vt:vector size="2" baseType="variant">
      <vt:variant>
        <vt:lpstr>Title</vt:lpstr>
      </vt:variant>
      <vt:variant>
        <vt:i4>1</vt:i4>
      </vt:variant>
    </vt:vector>
  </HeadingPairs>
  <TitlesOfParts>
    <vt:vector size="1" baseType="lpstr">
      <vt:lpstr/>
    </vt:vector>
  </TitlesOfParts>
  <Company>Standard Life PLC</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Dominic Veney</dc:creator>
  <dc:description>Classified as OA and Neither on 21/02/2019 by slf091</dc:description>
  <cp:lastModifiedBy>Murphy, Teresa (London)</cp:lastModifiedBy>
  <cp:revision>6</cp:revision>
  <cp:lastPrinted>2019-10-15T11:18:00Z</cp:lastPrinted>
  <dcterms:created xsi:type="dcterms:W3CDTF">2019-10-15T12:07:00Z</dcterms:created>
  <dcterms:modified xsi:type="dcterms:W3CDTF">2019-10-15T13:07:00Z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0x010100022AD1EB3BBDB74FB27488D44E660825</vt:lpwstr>
  </property>
  <property fmtid="{D5CDD505-2E9C-101B-9397-08002B2CF9AE}" pid="3" name="MSIP_Label_90c2fedb-0da6-4717-8531-d16a1b9930f4_Enabled">
    <vt:lpwstr>True</vt:lpwstr>
  </property>
  <property fmtid="{D5CDD505-2E9C-101B-9397-08002B2CF9AE}" pid="4" name="MSIP_Label_90c2fedb-0da6-4717-8531-d16a1b9930f4_SiteId">
    <vt:lpwstr>45597f60-6e37-4be7-acfb-4c9e23b261ea</vt:lpwstr>
  </property>
  <property fmtid="{D5CDD505-2E9C-101B-9397-08002B2CF9AE}" pid="5" name="MSIP_Label_90c2fedb-0da6-4717-8531-d16a1b9930f4_Owner">
    <vt:lpwstr>John_MillerJennings@swissre.com</vt:lpwstr>
  </property>
  <property fmtid="{D5CDD505-2E9C-101B-9397-08002B2CF9AE}" pid="6" name="MSIP_Label_90c2fedb-0da6-4717-8531-d16a1b9930f4_SetDate">
    <vt:lpwstr>2019-10-02T12:10:31.3245599Z</vt:lpwstr>
  </property>
  <property fmtid="{D5CDD505-2E9C-101B-9397-08002B2CF9AE}" pid="7" name="MSIP_Label_90c2fedb-0da6-4717-8531-d16a1b9930f4_Name">
    <vt:lpwstr>Internal</vt:lpwstr>
  </property>
  <property fmtid="{D5CDD505-2E9C-101B-9397-08002B2CF9AE}" pid="8" name="MSIP_Label_90c2fedb-0da6-4717-8531-d16a1b9930f4_Application">
    <vt:lpwstr>Microsoft Azure Information Protection</vt:lpwstr>
  </property>
  <property fmtid="{D5CDD505-2E9C-101B-9397-08002B2CF9AE}" pid="9" name="MSIP_Label_90c2fedb-0da6-4717-8531-d16a1b9930f4_Extended_MSFT_Method">
    <vt:lpwstr>Automatic</vt:lpwstr>
  </property>
  <property fmtid="{D5CDD505-2E9C-101B-9397-08002B2CF9AE}" pid="10" name="MSIP_Label_e7091180-6da5-4d97-a573-b62965fadb9f_Enabled">
    <vt:lpwstr>True</vt:lpwstr>
  </property>
  <property fmtid="{D5CDD505-2E9C-101B-9397-08002B2CF9AE}" pid="11" name="MSIP_Label_e7091180-6da5-4d97-a573-b62965fadb9f_SiteId">
    <vt:lpwstr>c9da0d0e-f235-4e9a-b399-246a120ebd3e</vt:lpwstr>
  </property>
  <property fmtid="{D5CDD505-2E9C-101B-9397-08002B2CF9AE}" pid="12" name="MSIP_Label_e7091180-6da5-4d97-a573-b62965fadb9f_Owner">
    <vt:lpwstr>Veney@pensioncorporation.com</vt:lpwstr>
  </property>
  <property fmtid="{D5CDD505-2E9C-101B-9397-08002B2CF9AE}" pid="13" name="MSIP_Label_e7091180-6da5-4d97-a573-b62965fadb9f_SetDate">
    <vt:lpwstr>2019-02-12T14:35:42.8348532Z</vt:lpwstr>
  </property>
  <property fmtid="{D5CDD505-2E9C-101B-9397-08002B2CF9AE}" pid="14" name="MSIP_Label_e7091180-6da5-4d97-a573-b62965fadb9f_Name">
    <vt:lpwstr>Internal</vt:lpwstr>
  </property>
  <property fmtid="{D5CDD505-2E9C-101B-9397-08002B2CF9AE}" pid="15" name="MSIP_Label_e7091180-6da5-4d97-a573-b62965fadb9f_Application">
    <vt:lpwstr>Microsoft Azure Information Protection</vt:lpwstr>
  </property>
  <property fmtid="{D5CDD505-2E9C-101B-9397-08002B2CF9AE}" pid="16" name="MSIP_Label_e7091180-6da5-4d97-a573-b62965fadb9f_Extended_MSFT_Method">
    <vt:lpwstr>Automatic</vt:lpwstr>
  </property>
  <property fmtid="{D5CDD505-2E9C-101B-9397-08002B2CF9AE}" pid="17" name="Sensitivity">
    <vt:lpwstr>Internal Internal</vt:lpwstr>
  </property>
</Properties>
</file>