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BF27" w14:textId="77777777" w:rsidR="00413DA8" w:rsidRPr="00593458" w:rsidRDefault="00413DA8" w:rsidP="00413DA8">
      <w:pPr>
        <w:spacing w:after="0" w:line="240" w:lineRule="auto"/>
        <w:rPr>
          <w:rFonts w:cs="Arial"/>
          <w:b/>
          <w:bCs/>
          <w:color w:val="113458"/>
          <w:sz w:val="28"/>
          <w:szCs w:val="28"/>
        </w:rPr>
      </w:pPr>
      <w:r>
        <w:rPr>
          <w:rFonts w:cs="Arial"/>
          <w:b/>
          <w:noProof/>
          <w:sz w:val="28"/>
          <w:szCs w:val="28"/>
          <w:lang w:eastAsia="en-GB"/>
        </w:rPr>
        <w:drawing>
          <wp:inline distT="0" distB="0" distL="0" distR="0" wp14:anchorId="4651A432" wp14:editId="4514F7FE">
            <wp:extent cx="2343150" cy="904875"/>
            <wp:effectExtent l="19050" t="0" r="0" b="0"/>
            <wp:docPr id="1" name="Picture 0" descr="IFoA_logo_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oA_logo_L_CMYK.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2343150" cy="904875"/>
                    </a:xfrm>
                    <a:prstGeom prst="rect">
                      <a:avLst/>
                    </a:prstGeom>
                    <a:noFill/>
                    <a:ln w="9525">
                      <a:noFill/>
                      <a:miter lim="800000"/>
                      <a:headEnd/>
                      <a:tailEnd/>
                    </a:ln>
                  </pic:spPr>
                </pic:pic>
              </a:graphicData>
            </a:graphic>
          </wp:inline>
        </w:drawing>
      </w:r>
    </w:p>
    <w:p w14:paraId="5F43D0FC" w14:textId="77777777" w:rsidR="00413DA8" w:rsidRDefault="00413DA8" w:rsidP="00413DA8">
      <w:pPr>
        <w:spacing w:after="0" w:line="240" w:lineRule="auto"/>
        <w:rPr>
          <w:rFonts w:cs="Arial"/>
          <w:b/>
          <w:bCs/>
          <w:color w:val="113458"/>
          <w:sz w:val="28"/>
          <w:szCs w:val="28"/>
        </w:rPr>
      </w:pPr>
    </w:p>
    <w:p w14:paraId="47B54477" w14:textId="77777777" w:rsidR="00413DA8" w:rsidRPr="00593458" w:rsidRDefault="00413DA8" w:rsidP="00413DA8">
      <w:pPr>
        <w:spacing w:after="0" w:line="240" w:lineRule="auto"/>
        <w:rPr>
          <w:rFonts w:cs="Arial"/>
          <w:b/>
          <w:bCs/>
          <w:color w:val="113458"/>
          <w:sz w:val="28"/>
          <w:szCs w:val="28"/>
        </w:rPr>
      </w:pPr>
      <w:r w:rsidRPr="00593458">
        <w:rPr>
          <w:rFonts w:cs="Arial"/>
          <w:b/>
          <w:bCs/>
          <w:color w:val="113458"/>
          <w:sz w:val="28"/>
          <w:szCs w:val="28"/>
        </w:rPr>
        <w:t>The Institute and Faculty of Actuaries</w:t>
      </w:r>
    </w:p>
    <w:p w14:paraId="101058CF" w14:textId="77777777" w:rsidR="00413DA8" w:rsidRPr="00593458" w:rsidRDefault="00413DA8" w:rsidP="00413DA8">
      <w:pPr>
        <w:spacing w:after="0" w:line="240" w:lineRule="auto"/>
        <w:rPr>
          <w:rFonts w:cs="Arial"/>
          <w:b/>
          <w:bCs/>
          <w:color w:val="113458"/>
          <w:sz w:val="28"/>
          <w:szCs w:val="28"/>
        </w:rPr>
      </w:pPr>
    </w:p>
    <w:p w14:paraId="40E30E7A" w14:textId="780F739B" w:rsidR="007351C8" w:rsidRPr="003955EA" w:rsidRDefault="00C61701" w:rsidP="00413DA8">
      <w:pPr>
        <w:spacing w:after="0" w:line="240" w:lineRule="auto"/>
        <w:rPr>
          <w:rFonts w:cs="Arial"/>
          <w:bCs/>
          <w:szCs w:val="20"/>
        </w:rPr>
      </w:pPr>
      <w:r w:rsidRPr="00C61701">
        <w:rPr>
          <w:rFonts w:cs="Arial"/>
          <w:b/>
          <w:bCs/>
          <w:color w:val="113458"/>
          <w:sz w:val="24"/>
          <w:szCs w:val="24"/>
        </w:rPr>
        <w:t xml:space="preserve">Net </w:t>
      </w:r>
      <w:r>
        <w:rPr>
          <w:rFonts w:cs="Arial"/>
          <w:b/>
          <w:bCs/>
          <w:color w:val="113458"/>
          <w:sz w:val="24"/>
          <w:szCs w:val="24"/>
        </w:rPr>
        <w:t>Z</w:t>
      </w:r>
      <w:r w:rsidRPr="00C61701">
        <w:rPr>
          <w:rFonts w:cs="Arial"/>
          <w:b/>
          <w:bCs/>
          <w:color w:val="113458"/>
          <w:sz w:val="24"/>
          <w:szCs w:val="24"/>
        </w:rPr>
        <w:t xml:space="preserve">ero and the </w:t>
      </w:r>
      <w:r>
        <w:rPr>
          <w:rFonts w:cs="Arial"/>
          <w:b/>
          <w:bCs/>
          <w:color w:val="113458"/>
          <w:sz w:val="24"/>
          <w:szCs w:val="24"/>
        </w:rPr>
        <w:t>I</w:t>
      </w:r>
      <w:r w:rsidRPr="00C61701">
        <w:rPr>
          <w:rFonts w:cs="Arial"/>
          <w:b/>
          <w:bCs/>
          <w:color w:val="113458"/>
          <w:sz w:val="24"/>
          <w:szCs w:val="24"/>
        </w:rPr>
        <w:t xml:space="preserve">mplications for </w:t>
      </w:r>
      <w:r>
        <w:rPr>
          <w:rFonts w:cs="Arial"/>
          <w:b/>
          <w:bCs/>
          <w:color w:val="113458"/>
          <w:sz w:val="24"/>
          <w:szCs w:val="24"/>
        </w:rPr>
        <w:t>I</w:t>
      </w:r>
      <w:r w:rsidRPr="00C61701">
        <w:rPr>
          <w:rFonts w:cs="Arial"/>
          <w:b/>
          <w:bCs/>
          <w:color w:val="113458"/>
          <w:sz w:val="24"/>
          <w:szCs w:val="24"/>
        </w:rPr>
        <w:t xml:space="preserve">nvestment </w:t>
      </w:r>
      <w:r>
        <w:rPr>
          <w:rFonts w:cs="Arial"/>
          <w:b/>
          <w:bCs/>
          <w:color w:val="113458"/>
          <w:sz w:val="24"/>
          <w:szCs w:val="24"/>
        </w:rPr>
        <w:t>P</w:t>
      </w:r>
      <w:r w:rsidRPr="00C61701">
        <w:rPr>
          <w:rFonts w:cs="Arial"/>
          <w:b/>
          <w:bCs/>
          <w:color w:val="113458"/>
          <w:sz w:val="24"/>
          <w:szCs w:val="24"/>
        </w:rPr>
        <w:t>ortfolios</w:t>
      </w:r>
    </w:p>
    <w:p w14:paraId="6ECB167C" w14:textId="77777777" w:rsidR="00413DA8" w:rsidRPr="00853C83" w:rsidRDefault="00413DA8" w:rsidP="00413DA8">
      <w:pPr>
        <w:autoSpaceDE w:val="0"/>
        <w:autoSpaceDN w:val="0"/>
        <w:adjustRightInd w:val="0"/>
        <w:spacing w:after="0"/>
        <w:rPr>
          <w:rFonts w:cs="Arial"/>
          <w:bCs/>
          <w:szCs w:val="20"/>
        </w:rPr>
      </w:pPr>
    </w:p>
    <w:p w14:paraId="717B4871" w14:textId="052C2AD5" w:rsidR="00413DA8" w:rsidRDefault="007351C8" w:rsidP="00413DA8">
      <w:pPr>
        <w:pStyle w:val="Default"/>
        <w:spacing w:line="276" w:lineRule="auto"/>
        <w:rPr>
          <w:rFonts w:ascii="Arial" w:hAnsi="Arial" w:cs="Arial"/>
          <w:b/>
          <w:bCs/>
          <w:color w:val="4096B8"/>
        </w:rPr>
      </w:pPr>
      <w:r w:rsidRPr="007351C8">
        <w:rPr>
          <w:rFonts w:ascii="Arial" w:hAnsi="Arial" w:cs="Arial"/>
          <w:b/>
          <w:bCs/>
          <w:color w:val="4096B8"/>
        </w:rPr>
        <w:t>Terms of Reference</w:t>
      </w:r>
    </w:p>
    <w:p w14:paraId="18ABB892" w14:textId="77777777" w:rsidR="007351C8" w:rsidRPr="00853C83" w:rsidRDefault="007351C8" w:rsidP="00413DA8">
      <w:pPr>
        <w:pStyle w:val="Default"/>
        <w:spacing w:line="276" w:lineRule="auto"/>
        <w:rPr>
          <w:rFonts w:ascii="Arial" w:hAnsi="Arial" w:cs="Arial"/>
          <w:bCs/>
          <w:color w:val="auto"/>
          <w:sz w:val="20"/>
          <w:szCs w:val="20"/>
        </w:rPr>
      </w:pPr>
    </w:p>
    <w:p w14:paraId="7F8843C5" w14:textId="43063C14" w:rsidR="00C61701" w:rsidRPr="00C61701" w:rsidRDefault="00C61701" w:rsidP="00C61701">
      <w:pPr>
        <w:spacing w:after="0"/>
        <w:rPr>
          <w:rFonts w:cs="Arial"/>
          <w:b/>
          <w:bCs/>
          <w:color w:val="000000"/>
          <w:szCs w:val="20"/>
        </w:rPr>
      </w:pPr>
      <w:r w:rsidRPr="00C61701">
        <w:rPr>
          <w:rFonts w:cs="Arial"/>
          <w:b/>
          <w:bCs/>
          <w:color w:val="000000"/>
          <w:szCs w:val="20"/>
        </w:rPr>
        <w:t>Overarching aim of the WP:</w:t>
      </w:r>
    </w:p>
    <w:p w14:paraId="299CD2BB" w14:textId="77777777" w:rsidR="00C61701" w:rsidRPr="00C61701" w:rsidRDefault="00C61701" w:rsidP="00C61701">
      <w:pPr>
        <w:numPr>
          <w:ilvl w:val="0"/>
          <w:numId w:val="6"/>
        </w:numPr>
        <w:spacing w:after="0"/>
        <w:rPr>
          <w:rFonts w:cs="Arial"/>
          <w:bCs/>
          <w:color w:val="000000"/>
          <w:szCs w:val="20"/>
        </w:rPr>
      </w:pPr>
      <w:r w:rsidRPr="00C61701">
        <w:rPr>
          <w:rFonts w:cs="Arial"/>
          <w:b/>
          <w:bCs/>
          <w:color w:val="000000"/>
          <w:szCs w:val="20"/>
        </w:rPr>
        <w:t>Educate</w:t>
      </w:r>
      <w:r w:rsidRPr="00C61701">
        <w:rPr>
          <w:rFonts w:cs="Arial"/>
          <w:bCs/>
          <w:color w:val="000000"/>
          <w:szCs w:val="20"/>
        </w:rPr>
        <w:t xml:space="preserve"> – collate information to provide actuaries with resources to improve their understanding of what net zero means for an investment portfolio, and the key mechanisms to achieve this. This will enable more actuaries who work in investments to play a role in the transition of investment portfolios to net zero.</w:t>
      </w:r>
    </w:p>
    <w:p w14:paraId="004D14A6" w14:textId="77777777" w:rsidR="00C61701" w:rsidRPr="00C61701" w:rsidRDefault="00C61701" w:rsidP="00C61701">
      <w:pPr>
        <w:numPr>
          <w:ilvl w:val="0"/>
          <w:numId w:val="6"/>
        </w:numPr>
        <w:spacing w:after="0"/>
        <w:rPr>
          <w:rFonts w:cs="Arial"/>
          <w:b/>
          <w:bCs/>
          <w:color w:val="000000"/>
          <w:szCs w:val="20"/>
        </w:rPr>
      </w:pPr>
      <w:r w:rsidRPr="00C61701">
        <w:rPr>
          <w:rFonts w:cs="Arial"/>
          <w:b/>
          <w:bCs/>
          <w:color w:val="000000"/>
          <w:szCs w:val="20"/>
        </w:rPr>
        <w:t>Thought leadership</w:t>
      </w:r>
      <w:r w:rsidRPr="00C61701">
        <w:rPr>
          <w:rFonts w:cs="Arial"/>
          <w:bCs/>
          <w:color w:val="000000"/>
          <w:szCs w:val="20"/>
        </w:rPr>
        <w:t xml:space="preserve"> – produce research to develop the profession’s understanding of what net zero means for an investment portfolio, and how it can be executed. This will drive forward the net zero agenda and equip actuaries working in investment teams with the knowledge and understanding they need to drive the transition. </w:t>
      </w:r>
    </w:p>
    <w:p w14:paraId="281DC713" w14:textId="77777777" w:rsidR="00C61701" w:rsidRPr="00C61701" w:rsidRDefault="00C61701" w:rsidP="00C61701">
      <w:pPr>
        <w:spacing w:after="0"/>
        <w:rPr>
          <w:rFonts w:cs="Arial"/>
          <w:b/>
          <w:bCs/>
          <w:color w:val="000000"/>
          <w:szCs w:val="20"/>
        </w:rPr>
      </w:pPr>
    </w:p>
    <w:p w14:paraId="196AE22C" w14:textId="77777777" w:rsidR="00C61701" w:rsidRPr="00C61701" w:rsidRDefault="00C61701" w:rsidP="00C61701">
      <w:pPr>
        <w:spacing w:after="0"/>
        <w:rPr>
          <w:rFonts w:cs="Arial"/>
          <w:b/>
          <w:bCs/>
          <w:color w:val="000000"/>
          <w:szCs w:val="20"/>
        </w:rPr>
      </w:pPr>
      <w:r w:rsidRPr="00C61701">
        <w:rPr>
          <w:rFonts w:cs="Arial"/>
          <w:b/>
          <w:bCs/>
          <w:color w:val="000000"/>
          <w:szCs w:val="20"/>
        </w:rPr>
        <w:t>Research areas to be covered:</w:t>
      </w:r>
    </w:p>
    <w:p w14:paraId="347371AD" w14:textId="77777777" w:rsidR="00C61701" w:rsidRPr="00C61701" w:rsidRDefault="00C61701" w:rsidP="00C61701">
      <w:pPr>
        <w:spacing w:after="0"/>
        <w:rPr>
          <w:rFonts w:cs="Arial"/>
          <w:bCs/>
          <w:color w:val="000000"/>
          <w:szCs w:val="20"/>
        </w:rPr>
      </w:pPr>
      <w:r w:rsidRPr="00C61701">
        <w:rPr>
          <w:rFonts w:cs="Arial"/>
          <w:bCs/>
          <w:color w:val="000000"/>
          <w:szCs w:val="20"/>
        </w:rPr>
        <w:t>We have a number of different areas of interest for research. We would expect these to develop over time as we progress our research, but our initial list of topics is as follows:</w:t>
      </w:r>
    </w:p>
    <w:p w14:paraId="4BDCBC75" w14:textId="77777777" w:rsidR="00C61701" w:rsidRPr="00C61701" w:rsidRDefault="00C61701" w:rsidP="00C61701">
      <w:pPr>
        <w:numPr>
          <w:ilvl w:val="0"/>
          <w:numId w:val="10"/>
        </w:numPr>
        <w:spacing w:after="0"/>
        <w:rPr>
          <w:rFonts w:cs="Arial"/>
          <w:b/>
          <w:bCs/>
          <w:color w:val="000000"/>
          <w:szCs w:val="20"/>
        </w:rPr>
      </w:pPr>
      <w:r w:rsidRPr="00C61701">
        <w:rPr>
          <w:rFonts w:cs="Arial"/>
          <w:bCs/>
          <w:color w:val="000000"/>
          <w:szCs w:val="20"/>
        </w:rPr>
        <w:t>Sustainability metrics – how should the different metrics be understood and used to drive the transition to net zero.</w:t>
      </w:r>
    </w:p>
    <w:p w14:paraId="6E36C0B3" w14:textId="77777777" w:rsidR="00C61701" w:rsidRPr="00C61701" w:rsidRDefault="00C61701" w:rsidP="00C61701">
      <w:pPr>
        <w:numPr>
          <w:ilvl w:val="0"/>
          <w:numId w:val="10"/>
        </w:numPr>
        <w:spacing w:after="0"/>
        <w:rPr>
          <w:rFonts w:cs="Arial"/>
          <w:b/>
          <w:bCs/>
          <w:color w:val="000000"/>
          <w:szCs w:val="20"/>
        </w:rPr>
      </w:pPr>
      <w:r w:rsidRPr="00C61701">
        <w:rPr>
          <w:rFonts w:cs="Arial"/>
          <w:bCs/>
          <w:color w:val="000000"/>
          <w:szCs w:val="20"/>
        </w:rPr>
        <w:t>Sovereigns – how should carbon emissions associated with sovereign debt be measured, and what would engagement / stewardship look like for that asset class?</w:t>
      </w:r>
    </w:p>
    <w:p w14:paraId="458B77F5" w14:textId="77777777" w:rsidR="00C61701" w:rsidRPr="00C61701" w:rsidRDefault="00C61701" w:rsidP="00C61701">
      <w:pPr>
        <w:numPr>
          <w:ilvl w:val="0"/>
          <w:numId w:val="10"/>
        </w:numPr>
        <w:spacing w:after="0"/>
        <w:rPr>
          <w:rFonts w:cs="Arial"/>
          <w:b/>
          <w:bCs/>
          <w:color w:val="000000"/>
          <w:szCs w:val="20"/>
        </w:rPr>
      </w:pPr>
      <w:r w:rsidRPr="00C61701">
        <w:rPr>
          <w:rFonts w:cs="Arial"/>
          <w:bCs/>
          <w:color w:val="000000"/>
          <w:szCs w:val="20"/>
        </w:rPr>
        <w:t>Carbon removal / offsetting – should carbon offsets / removals play a role in a net zero investment portfolio, and what is that role if so? How should the emissions offset / removed be measured?</w:t>
      </w:r>
    </w:p>
    <w:p w14:paraId="1285BF42" w14:textId="77777777" w:rsidR="00C61701" w:rsidRPr="00C61701" w:rsidRDefault="00C61701" w:rsidP="00C61701">
      <w:pPr>
        <w:numPr>
          <w:ilvl w:val="0"/>
          <w:numId w:val="10"/>
        </w:numPr>
        <w:spacing w:after="0"/>
        <w:rPr>
          <w:rFonts w:cs="Arial"/>
          <w:b/>
          <w:bCs/>
          <w:color w:val="000000"/>
          <w:szCs w:val="20"/>
        </w:rPr>
      </w:pPr>
      <w:r w:rsidRPr="00C61701">
        <w:rPr>
          <w:rFonts w:cs="Arial"/>
          <w:bCs/>
          <w:color w:val="000000"/>
          <w:szCs w:val="20"/>
        </w:rPr>
        <w:t>Downside risk in net zero investment – how can investors manage downside risk across all climate scenarios in transitioning the portfolio?</w:t>
      </w:r>
    </w:p>
    <w:p w14:paraId="300704DE" w14:textId="77777777" w:rsidR="00C61701" w:rsidRPr="00C61701" w:rsidRDefault="00C61701" w:rsidP="00C61701">
      <w:pPr>
        <w:numPr>
          <w:ilvl w:val="0"/>
          <w:numId w:val="10"/>
        </w:numPr>
        <w:spacing w:after="0"/>
        <w:rPr>
          <w:rFonts w:cs="Arial"/>
          <w:b/>
          <w:bCs/>
          <w:color w:val="000000"/>
          <w:szCs w:val="20"/>
        </w:rPr>
      </w:pPr>
      <w:r w:rsidRPr="00C61701">
        <w:rPr>
          <w:rFonts w:cs="Arial"/>
          <w:bCs/>
          <w:color w:val="000000"/>
          <w:szCs w:val="20"/>
        </w:rPr>
        <w:t>Transition planning – when the transition plan taskforce releases detail of best practice transition plans for companies, consider how they should be applied to investment portfolios. In particular, consider the impact of stewardship and divestment and consider framework for prioritisation.</w:t>
      </w:r>
    </w:p>
    <w:p w14:paraId="185293D7" w14:textId="77777777" w:rsidR="00C61701" w:rsidRPr="00C61701" w:rsidRDefault="00C61701" w:rsidP="00C61701">
      <w:pPr>
        <w:spacing w:after="0"/>
        <w:rPr>
          <w:rFonts w:cs="Arial"/>
          <w:b/>
          <w:bCs/>
          <w:color w:val="000000"/>
          <w:szCs w:val="20"/>
        </w:rPr>
      </w:pPr>
    </w:p>
    <w:p w14:paraId="32FE54C1" w14:textId="77777777" w:rsidR="00C61701" w:rsidRPr="00C61701" w:rsidRDefault="00C61701" w:rsidP="00C61701">
      <w:pPr>
        <w:spacing w:after="0"/>
        <w:rPr>
          <w:rFonts w:cs="Arial"/>
          <w:bCs/>
          <w:color w:val="000000"/>
          <w:szCs w:val="20"/>
        </w:rPr>
      </w:pPr>
      <w:r w:rsidRPr="00C61701">
        <w:rPr>
          <w:rFonts w:cs="Arial"/>
          <w:bCs/>
          <w:color w:val="000000"/>
          <w:szCs w:val="20"/>
        </w:rPr>
        <w:t>In the first instance, we are expecting to produce short reports / articles exploring the topics and questions above.</w:t>
      </w:r>
    </w:p>
    <w:p w14:paraId="62064C0C" w14:textId="77777777" w:rsidR="00C61701" w:rsidRPr="00C61701" w:rsidRDefault="00C61701" w:rsidP="00C61701">
      <w:pPr>
        <w:spacing w:after="0"/>
        <w:rPr>
          <w:rFonts w:cs="Arial"/>
          <w:bCs/>
          <w:color w:val="000000"/>
          <w:szCs w:val="20"/>
        </w:rPr>
      </w:pPr>
    </w:p>
    <w:p w14:paraId="26A063B1" w14:textId="77777777" w:rsidR="00C61701" w:rsidRPr="00C61701" w:rsidRDefault="00C61701" w:rsidP="00C61701">
      <w:pPr>
        <w:spacing w:after="0"/>
        <w:rPr>
          <w:rFonts w:cs="Arial"/>
          <w:bCs/>
          <w:color w:val="000000"/>
          <w:szCs w:val="20"/>
        </w:rPr>
      </w:pPr>
      <w:r w:rsidRPr="00C61701">
        <w:rPr>
          <w:rFonts w:cs="Arial"/>
          <w:b/>
          <w:bCs/>
          <w:color w:val="000000"/>
          <w:szCs w:val="20"/>
        </w:rPr>
        <w:t>Expected timescales</w:t>
      </w:r>
    </w:p>
    <w:p w14:paraId="721D5663" w14:textId="77777777" w:rsidR="00C61701" w:rsidRPr="00C61701" w:rsidRDefault="00C61701" w:rsidP="00C61701">
      <w:pPr>
        <w:spacing w:after="0"/>
        <w:rPr>
          <w:rFonts w:cs="Arial"/>
          <w:bCs/>
          <w:color w:val="000000"/>
          <w:szCs w:val="20"/>
        </w:rPr>
      </w:pPr>
      <w:r w:rsidRPr="00C61701">
        <w:rPr>
          <w:rFonts w:cs="Arial"/>
          <w:bCs/>
          <w:color w:val="000000"/>
          <w:szCs w:val="20"/>
        </w:rPr>
        <w:t>We will aim to produce our first output on sustainability metrics in Q1 2023.</w:t>
      </w:r>
    </w:p>
    <w:p w14:paraId="3EFADFF6" w14:textId="77777777" w:rsidR="007351C8" w:rsidRPr="007351C8" w:rsidRDefault="007351C8" w:rsidP="007351C8">
      <w:pPr>
        <w:spacing w:after="0"/>
        <w:rPr>
          <w:rFonts w:cs="Arial"/>
          <w:bCs/>
          <w:color w:val="000000"/>
          <w:szCs w:val="20"/>
        </w:rPr>
      </w:pPr>
    </w:p>
    <w:p w14:paraId="19936335" w14:textId="0EA293EE" w:rsidR="00413DA8" w:rsidRDefault="007351C8" w:rsidP="007351C8">
      <w:pPr>
        <w:spacing w:after="0"/>
        <w:ind w:left="720"/>
      </w:pPr>
      <w:r>
        <w:rPr>
          <w:rFonts w:cs="Arial"/>
          <w:b/>
          <w:bCs/>
          <w:color w:val="113458"/>
          <w:sz w:val="24"/>
          <w:szCs w:val="24"/>
        </w:rPr>
        <w:t>July 2023</w:t>
      </w:r>
    </w:p>
    <w:sectPr w:rsidR="00413DA8" w:rsidSect="00A1352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0A"/>
    <w:multiLevelType w:val="hybridMultilevel"/>
    <w:tmpl w:val="BFF6D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03D48"/>
    <w:multiLevelType w:val="hybridMultilevel"/>
    <w:tmpl w:val="A456FA86"/>
    <w:lvl w:ilvl="0" w:tplc="6F8CC87A">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47C7D"/>
    <w:multiLevelType w:val="hybridMultilevel"/>
    <w:tmpl w:val="58CCF6DE"/>
    <w:lvl w:ilvl="0" w:tplc="4A8C554A">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CE2236"/>
    <w:multiLevelType w:val="hybridMultilevel"/>
    <w:tmpl w:val="243A37EE"/>
    <w:lvl w:ilvl="0" w:tplc="A85E916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F504C4"/>
    <w:multiLevelType w:val="hybridMultilevel"/>
    <w:tmpl w:val="F94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25A6F"/>
    <w:multiLevelType w:val="hybridMultilevel"/>
    <w:tmpl w:val="28C46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871B9"/>
    <w:multiLevelType w:val="hybridMultilevel"/>
    <w:tmpl w:val="5042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93DD4"/>
    <w:multiLevelType w:val="hybridMultilevel"/>
    <w:tmpl w:val="A0267D1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117528487">
    <w:abstractNumId w:val="6"/>
  </w:num>
  <w:num w:numId="2" w16cid:durableId="1875730375">
    <w:abstractNumId w:val="4"/>
  </w:num>
  <w:num w:numId="3" w16cid:durableId="415320192">
    <w:abstractNumId w:val="0"/>
  </w:num>
  <w:num w:numId="4" w16cid:durableId="1521551976">
    <w:abstractNumId w:val="5"/>
  </w:num>
  <w:num w:numId="5" w16cid:durableId="1661889672">
    <w:abstractNumId w:val="1"/>
  </w:num>
  <w:num w:numId="6" w16cid:durableId="263389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6817235">
    <w:abstractNumId w:val="3"/>
    <w:lvlOverride w:ilvl="0"/>
    <w:lvlOverride w:ilvl="1"/>
    <w:lvlOverride w:ilvl="2"/>
    <w:lvlOverride w:ilvl="3"/>
    <w:lvlOverride w:ilvl="4"/>
    <w:lvlOverride w:ilvl="5"/>
    <w:lvlOverride w:ilvl="6"/>
    <w:lvlOverride w:ilvl="7"/>
    <w:lvlOverride w:ilvl="8"/>
  </w:num>
  <w:num w:numId="8" w16cid:durableId="1780875530">
    <w:abstractNumId w:val="3"/>
  </w:num>
  <w:num w:numId="9" w16cid:durableId="2121294142">
    <w:abstractNumId w:val="2"/>
  </w:num>
  <w:num w:numId="10" w16cid:durableId="1049646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A8"/>
    <w:rsid w:val="001F7BD9"/>
    <w:rsid w:val="00413DA8"/>
    <w:rsid w:val="007351C8"/>
    <w:rsid w:val="00A13529"/>
    <w:rsid w:val="00B825C3"/>
    <w:rsid w:val="00C61701"/>
    <w:rsid w:val="00DD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C52B"/>
  <w15:chartTrackingRefBased/>
  <w15:docId w15:val="{0892A82D-A84C-47D5-BA69-8D3CF2A6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A8"/>
    <w:pPr>
      <w:spacing w:after="200" w:line="276" w:lineRule="auto"/>
    </w:pPr>
    <w:rPr>
      <w:rFonts w:ascii="Arial" w:eastAsia="Calibri" w:hAnsi="Arial" w:cs="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DA8"/>
    <w:pPr>
      <w:ind w:left="720"/>
      <w:contextualSpacing/>
    </w:pPr>
  </w:style>
  <w:style w:type="paragraph" w:customStyle="1" w:styleId="Default">
    <w:name w:val="Default"/>
    <w:uiPriority w:val="99"/>
    <w:rsid w:val="00413DA8"/>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DefaultParagraphFont"/>
    <w:uiPriority w:val="99"/>
    <w:unhideWhenUsed/>
    <w:rsid w:val="00413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70221">
      <w:bodyDiv w:val="1"/>
      <w:marLeft w:val="0"/>
      <w:marRight w:val="0"/>
      <w:marTop w:val="0"/>
      <w:marBottom w:val="0"/>
      <w:divBdr>
        <w:top w:val="none" w:sz="0" w:space="0" w:color="auto"/>
        <w:left w:val="none" w:sz="0" w:space="0" w:color="auto"/>
        <w:bottom w:val="none" w:sz="0" w:space="0" w:color="auto"/>
        <w:right w:val="none" w:sz="0" w:space="0" w:color="auto"/>
      </w:divBdr>
    </w:div>
    <w:div w:id="20879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Lindsay</dc:creator>
  <cp:keywords/>
  <dc:description/>
  <cp:lastModifiedBy>Alec Skelly</cp:lastModifiedBy>
  <cp:revision>2</cp:revision>
  <dcterms:created xsi:type="dcterms:W3CDTF">2023-07-28T13:03:00Z</dcterms:created>
  <dcterms:modified xsi:type="dcterms:W3CDTF">2023-07-28T13:03:00Z</dcterms:modified>
</cp:coreProperties>
</file>