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A8" w:rsidRDefault="00C83CA8">
      <w:pPr>
        <w:rPr>
          <w:u w:val="single"/>
        </w:rPr>
      </w:pPr>
      <w:bookmarkStart w:id="0" w:name="_GoBack"/>
      <w:bookmarkEnd w:id="0"/>
    </w:p>
    <w:p w:rsidR="00C83CA8" w:rsidRDefault="00BD2C55">
      <w:pPr>
        <w:rPr>
          <w:sz w:val="18"/>
        </w:rPr>
      </w:pPr>
      <w:r>
        <w:rPr>
          <w:sz w:val="18"/>
          <w:u w:val="single"/>
        </w:rPr>
        <w:t>Scope: Impact of regulation on risk management WP</w:t>
      </w:r>
    </w:p>
    <w:p w:rsidR="00C83CA8" w:rsidRDefault="00BD2C55">
      <w:pPr>
        <w:rPr>
          <w:sz w:val="18"/>
        </w:rPr>
      </w:pPr>
      <w:r>
        <w:rPr>
          <w:sz w:val="18"/>
        </w:rPr>
        <w:t xml:space="preserve">Questions: 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 xml:space="preserve">How have life insurance prudential and accounting regulation impacted risk management strategies (investments and ALM, reinsurance, diversification,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)? In particular what recent changes or trends can be identified and can these be attributed to regulato</w:t>
      </w:r>
      <w:r>
        <w:rPr>
          <w:sz w:val="18"/>
        </w:rPr>
        <w:t>ry change?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 xml:space="preserve">Can 'good' or 'economic' risk management in life insurance be defined, in a manner that is independent of regulatory regime? 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>Is there a future role for 'economic' risk management given the number of competing regulatory balance sheets that need</w:t>
      </w:r>
      <w:r>
        <w:rPr>
          <w:sz w:val="18"/>
        </w:rPr>
        <w:t xml:space="preserve"> managing? What framework could be used for optimising behaviour under multiple, sometimes conflicting, measures?  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 xml:space="preserve">To what extent have different regulatory regimes incentivised ‘good risk management’ as defined above? Conversely, are there any unintended </w:t>
      </w:r>
      <w:r>
        <w:rPr>
          <w:sz w:val="18"/>
        </w:rPr>
        <w:t>consequences of regulation?</w:t>
      </w:r>
    </w:p>
    <w:p w:rsidR="00C83CA8" w:rsidRDefault="00C83CA8">
      <w:pPr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>Workstreams: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>Prudential regulation and metrics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>Accounting regulation and metrics</w:t>
      </w:r>
    </w:p>
    <w:p w:rsidR="00C83CA8" w:rsidRDefault="00BD2C55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18"/>
        </w:rPr>
      </w:pPr>
      <w:r>
        <w:rPr>
          <w:sz w:val="18"/>
        </w:rPr>
        <w:t>Risk governance</w:t>
      </w:r>
    </w:p>
    <w:p w:rsidR="00C83CA8" w:rsidRDefault="00C83CA8">
      <w:pPr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>Industries covered: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Life insurance, with secondary consideration of impacts seen in General Insurance and Pensions Consolidation </w:t>
      </w:r>
      <w:r>
        <w:rPr>
          <w:sz w:val="18"/>
        </w:rPr>
        <w:t xml:space="preserve">sectors and possible crossover to Life. </w:t>
      </w:r>
    </w:p>
    <w:p w:rsidR="00C83CA8" w:rsidRDefault="00C83CA8">
      <w:pPr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 xml:space="preserve">Markets / regimes covered: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UK: ICAS, Solvency II, UK GAAP / IFRS 4      (50%) - initial focus   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International emerging: ICS, IFRS17            (20%)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Europe: SST (Switzerland), Solvency II         (10%)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Asia Pac:</w:t>
      </w:r>
      <w:r>
        <w:rPr>
          <w:sz w:val="18"/>
        </w:rPr>
        <w:t xml:space="preserve"> C-ROSS (China), HK, </w:t>
      </w:r>
      <w:proofErr w:type="spellStart"/>
      <w:r>
        <w:rPr>
          <w:sz w:val="18"/>
        </w:rPr>
        <w:t>Aus</w:t>
      </w:r>
      <w:proofErr w:type="spellEnd"/>
      <w:r>
        <w:rPr>
          <w:sz w:val="18"/>
        </w:rPr>
        <w:t xml:space="preserve">                (10%)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USA:                                                                   (10%)</w:t>
      </w:r>
    </w:p>
    <w:p w:rsidR="00C83CA8" w:rsidRDefault="00C83CA8">
      <w:pPr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>Risk Perspectives: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Regulators - micro and macro-prudential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Customers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Shareholders</w:t>
      </w:r>
    </w:p>
    <w:p w:rsidR="00C83CA8" w:rsidRDefault="00C83CA8">
      <w:pPr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>Risk Management Areas: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Assets / ALM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Reinsurance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Product strategy and diversification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Systemic Risk </w:t>
      </w:r>
    </w:p>
    <w:p w:rsidR="00C83CA8" w:rsidRDefault="00BD2C5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Other: Operational risk, Intra-group transactions </w:t>
      </w:r>
    </w:p>
    <w:p w:rsidR="00C83CA8" w:rsidRDefault="00C83CA8">
      <w:pPr>
        <w:ind w:left="720"/>
        <w:rPr>
          <w:sz w:val="18"/>
        </w:rPr>
      </w:pPr>
    </w:p>
    <w:p w:rsidR="00C83CA8" w:rsidRDefault="00BD2C55">
      <w:pPr>
        <w:rPr>
          <w:sz w:val="18"/>
        </w:rPr>
      </w:pPr>
      <w:r>
        <w:rPr>
          <w:sz w:val="18"/>
        </w:rPr>
        <w:t>Deliverables:</w:t>
      </w:r>
    </w:p>
    <w:p w:rsidR="00C83CA8" w:rsidRDefault="00BD2C55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Sessional paper (late 2020)</w:t>
      </w:r>
    </w:p>
    <w:p w:rsidR="00C83CA8" w:rsidRDefault="00BD2C55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The Actuary / LinkedIn articles (2019-20)</w:t>
      </w:r>
    </w:p>
    <w:p w:rsidR="00C83CA8" w:rsidRDefault="00BD2C55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Presentations (Life conference, CILA, Regional societies, ...) (20</w:t>
      </w:r>
      <w:r>
        <w:rPr>
          <w:sz w:val="18"/>
        </w:rPr>
        <w:t>20)</w:t>
      </w:r>
    </w:p>
    <w:p w:rsidR="00C83CA8" w:rsidRDefault="00C83CA8">
      <w:pPr>
        <w:rPr>
          <w:sz w:val="18"/>
        </w:rPr>
      </w:pPr>
    </w:p>
    <w:sectPr w:rsidR="00C83CA8">
      <w:headerReference w:type="default" r:id="rId7"/>
      <w:pgSz w:w="11906" w:h="16838"/>
      <w:pgMar w:top="167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2C55">
      <w:pPr>
        <w:spacing w:after="0" w:line="240" w:lineRule="auto"/>
      </w:pPr>
      <w:r>
        <w:separator/>
      </w:r>
    </w:p>
  </w:endnote>
  <w:endnote w:type="continuationSeparator" w:id="0">
    <w:p w:rsidR="00000000" w:rsidRDefault="00BD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A8" w:rsidRDefault="00BD2C55">
      <w:pPr>
        <w:spacing w:after="0" w:line="240" w:lineRule="auto"/>
      </w:pPr>
      <w:r>
        <w:separator/>
      </w:r>
    </w:p>
  </w:footnote>
  <w:footnote w:type="continuationSeparator" w:id="0">
    <w:p w:rsidR="00C83CA8" w:rsidRDefault="00BD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8" w:rsidRDefault="00BD2C55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291285</wp:posOffset>
          </wp:positionH>
          <wp:positionV relativeFrom="paragraph">
            <wp:posOffset>-98445</wp:posOffset>
          </wp:positionV>
          <wp:extent cx="1648811" cy="885134"/>
          <wp:effectExtent l="19045" t="0" r="8532" b="0"/>
          <wp:wrapNone/>
          <wp:docPr id="1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48816" cy="88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3CA8" w:rsidRDefault="00C83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E8D"/>
    <w:multiLevelType w:val="hybridMultilevel"/>
    <w:tmpl w:val="1C6A6E3A"/>
    <w:lvl w:ilvl="0" w:tplc="2C5E57EA">
      <w:start w:val="1"/>
      <w:numFmt w:val="decimal"/>
      <w:lvlText w:val="%1."/>
      <w:lvlJc w:val="left"/>
      <w:pPr>
        <w:ind w:left="720" w:hanging="355"/>
      </w:pPr>
    </w:lvl>
    <w:lvl w:ilvl="1" w:tplc="3FC6E294">
      <w:start w:val="1"/>
      <w:numFmt w:val="lowerLetter"/>
      <w:lvlText w:val="%2."/>
      <w:lvlJc w:val="left"/>
      <w:pPr>
        <w:ind w:left="1440" w:hanging="355"/>
      </w:pPr>
    </w:lvl>
    <w:lvl w:ilvl="2" w:tplc="D36C6A3A">
      <w:start w:val="1"/>
      <w:numFmt w:val="lowerRoman"/>
      <w:lvlText w:val="%3."/>
      <w:lvlJc w:val="right"/>
      <w:pPr>
        <w:ind w:left="2160" w:hanging="175"/>
      </w:pPr>
    </w:lvl>
    <w:lvl w:ilvl="3" w:tplc="B5F6177E">
      <w:start w:val="1"/>
      <w:numFmt w:val="decimal"/>
      <w:lvlText w:val="%4."/>
      <w:lvlJc w:val="left"/>
      <w:pPr>
        <w:ind w:left="2880" w:hanging="355"/>
      </w:pPr>
    </w:lvl>
    <w:lvl w:ilvl="4" w:tplc="B99C3B9C">
      <w:start w:val="1"/>
      <w:numFmt w:val="lowerLetter"/>
      <w:lvlText w:val="%5."/>
      <w:lvlJc w:val="left"/>
      <w:pPr>
        <w:ind w:left="3600" w:hanging="355"/>
      </w:pPr>
    </w:lvl>
    <w:lvl w:ilvl="5" w:tplc="1D9682CA">
      <w:start w:val="1"/>
      <w:numFmt w:val="lowerRoman"/>
      <w:lvlText w:val="%6."/>
      <w:lvlJc w:val="right"/>
      <w:pPr>
        <w:ind w:left="4320" w:hanging="175"/>
      </w:pPr>
    </w:lvl>
    <w:lvl w:ilvl="6" w:tplc="15F4A860">
      <w:start w:val="1"/>
      <w:numFmt w:val="decimal"/>
      <w:lvlText w:val="%7."/>
      <w:lvlJc w:val="left"/>
      <w:pPr>
        <w:ind w:left="5040" w:hanging="355"/>
      </w:pPr>
    </w:lvl>
    <w:lvl w:ilvl="7" w:tplc="0FBAD27C">
      <w:start w:val="1"/>
      <w:numFmt w:val="lowerLetter"/>
      <w:lvlText w:val="%8."/>
      <w:lvlJc w:val="left"/>
      <w:pPr>
        <w:ind w:left="5760" w:hanging="355"/>
      </w:pPr>
    </w:lvl>
    <w:lvl w:ilvl="8" w:tplc="57B896B2">
      <w:start w:val="1"/>
      <w:numFmt w:val="lowerRoman"/>
      <w:lvlText w:val="%9."/>
      <w:lvlJc w:val="right"/>
      <w:pPr>
        <w:ind w:left="6480" w:hanging="175"/>
      </w:pPr>
    </w:lvl>
  </w:abstractNum>
  <w:abstractNum w:abstractNumId="1" w15:restartNumberingAfterBreak="0">
    <w:nsid w:val="0FE20153"/>
    <w:multiLevelType w:val="hybridMultilevel"/>
    <w:tmpl w:val="DD0E0FC2"/>
    <w:lvl w:ilvl="0" w:tplc="F7EA8D84">
      <w:start w:val="1"/>
      <w:numFmt w:val="bullet"/>
      <w:lvlText w:val=""/>
      <w:lvlJc w:val="left"/>
      <w:pPr>
        <w:ind w:left="720" w:hanging="355"/>
      </w:pPr>
      <w:rPr>
        <w:rFonts w:ascii="Symbol" w:eastAsia="Calibri" w:hAnsi="Symbol" w:cs="Calibri" w:hint="default"/>
      </w:rPr>
    </w:lvl>
    <w:lvl w:ilvl="1" w:tplc="9FC4A2DC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4EA21DD6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01602E0E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2920F8C0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81145CEE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B4BAF5F8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AD9CD424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ED742390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2" w15:restartNumberingAfterBreak="0">
    <w:nsid w:val="38FA0BFB"/>
    <w:multiLevelType w:val="hybridMultilevel"/>
    <w:tmpl w:val="BD340618"/>
    <w:lvl w:ilvl="0" w:tplc="1688D102">
      <w:start w:val="1"/>
      <w:numFmt w:val="bullet"/>
      <w:lvlText w:val=""/>
      <w:lvlJc w:val="left"/>
      <w:pPr>
        <w:ind w:left="720" w:hanging="355"/>
      </w:pPr>
      <w:rPr>
        <w:rFonts w:ascii="Symbol" w:eastAsia="Calibri" w:hAnsi="Symbol" w:cs="Calibri" w:hint="default"/>
      </w:rPr>
    </w:lvl>
    <w:lvl w:ilvl="1" w:tplc="C7F44E56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C890DEAA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A7444C86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2D7079BE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D0085506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3C82C3B8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2062BFAE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EB42F2B6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3" w15:restartNumberingAfterBreak="0">
    <w:nsid w:val="3D8E316E"/>
    <w:multiLevelType w:val="hybridMultilevel"/>
    <w:tmpl w:val="0EECDACA"/>
    <w:lvl w:ilvl="0" w:tplc="3BB86DC4">
      <w:start w:val="1"/>
      <w:numFmt w:val="bullet"/>
      <w:lvlText w:val=""/>
      <w:lvlJc w:val="left"/>
      <w:pPr>
        <w:ind w:left="720" w:hanging="355"/>
      </w:pPr>
      <w:rPr>
        <w:rFonts w:ascii="Symbol" w:eastAsia="Calibri" w:hAnsi="Symbol" w:cs="Calibri" w:hint="default"/>
      </w:rPr>
    </w:lvl>
    <w:lvl w:ilvl="1" w:tplc="4F6C3DA0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9EA45FAE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EE086C16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17BAAFD4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08B2E090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B11E5C92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E04C8410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E4DC7904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4" w15:restartNumberingAfterBreak="0">
    <w:nsid w:val="48EF3808"/>
    <w:multiLevelType w:val="hybridMultilevel"/>
    <w:tmpl w:val="AA503C40"/>
    <w:lvl w:ilvl="0" w:tplc="CE12390A">
      <w:start w:val="1"/>
      <w:numFmt w:val="bullet"/>
      <w:lvlText w:val="·"/>
      <w:lvlJc w:val="left"/>
      <w:pPr>
        <w:ind w:left="720" w:hanging="356"/>
      </w:pPr>
      <w:rPr>
        <w:rFonts w:ascii="Symbol" w:eastAsia="Symbol" w:hAnsi="Symbol" w:cs="Symbol"/>
      </w:rPr>
    </w:lvl>
    <w:lvl w:ilvl="1" w:tplc="8EA27D5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</w:rPr>
    </w:lvl>
    <w:lvl w:ilvl="2" w:tplc="6734ACD2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/>
      </w:rPr>
    </w:lvl>
    <w:lvl w:ilvl="3" w:tplc="94CE31EA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/>
      </w:rPr>
    </w:lvl>
    <w:lvl w:ilvl="4" w:tplc="4A1EE69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</w:rPr>
    </w:lvl>
    <w:lvl w:ilvl="5" w:tplc="D668D600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/>
      </w:rPr>
    </w:lvl>
    <w:lvl w:ilvl="6" w:tplc="4C40A37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/>
      </w:rPr>
    </w:lvl>
    <w:lvl w:ilvl="7" w:tplc="4736398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</w:rPr>
    </w:lvl>
    <w:lvl w:ilvl="8" w:tplc="8EC832AC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/>
      </w:rPr>
    </w:lvl>
  </w:abstractNum>
  <w:abstractNum w:abstractNumId="5" w15:restartNumberingAfterBreak="0">
    <w:nsid w:val="5ADD2287"/>
    <w:multiLevelType w:val="hybridMultilevel"/>
    <w:tmpl w:val="A8125310"/>
    <w:lvl w:ilvl="0" w:tplc="EA7C2DB4">
      <w:start w:val="1"/>
      <w:numFmt w:val="bullet"/>
      <w:lvlText w:val=""/>
      <w:lvlJc w:val="left"/>
      <w:pPr>
        <w:ind w:left="720" w:hanging="355"/>
      </w:pPr>
      <w:rPr>
        <w:rFonts w:ascii="Symbol" w:hAnsi="Symbol" w:hint="default"/>
      </w:rPr>
    </w:lvl>
    <w:lvl w:ilvl="1" w:tplc="D714CE78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79F065A6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0A00E810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602AACDE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51A80F48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7DACAB44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05D038E0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78D61480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6" w15:restartNumberingAfterBreak="0">
    <w:nsid w:val="5F800023"/>
    <w:multiLevelType w:val="hybridMultilevel"/>
    <w:tmpl w:val="CCF4463A"/>
    <w:lvl w:ilvl="0" w:tplc="70E0AED2">
      <w:start w:val="1"/>
      <w:numFmt w:val="bullet"/>
      <w:lvlText w:val=""/>
      <w:lvlJc w:val="left"/>
      <w:pPr>
        <w:ind w:left="720" w:hanging="355"/>
      </w:pPr>
      <w:rPr>
        <w:rFonts w:ascii="Symbol" w:eastAsia="Calibri" w:hAnsi="Symbol" w:cs="Calibri" w:hint="default"/>
      </w:rPr>
    </w:lvl>
    <w:lvl w:ilvl="1" w:tplc="39CE15EE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A5BCA362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6F92A456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FD9CE8B8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841A5A8A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BCFC9ECA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5810FA9C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F09C1B10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7" w15:restartNumberingAfterBreak="0">
    <w:nsid w:val="65E54CB8"/>
    <w:multiLevelType w:val="hybridMultilevel"/>
    <w:tmpl w:val="FAE02CE8"/>
    <w:lvl w:ilvl="0" w:tplc="0C7C729A">
      <w:start w:val="18"/>
      <w:numFmt w:val="bullet"/>
      <w:lvlText w:val=""/>
      <w:lvlJc w:val="left"/>
      <w:pPr>
        <w:ind w:left="720" w:hanging="355"/>
      </w:pPr>
      <w:rPr>
        <w:rFonts w:ascii="Symbol" w:eastAsia="Calibri" w:hAnsi="Symbol" w:cs="Calibri" w:hint="default"/>
      </w:rPr>
    </w:lvl>
    <w:lvl w:ilvl="1" w:tplc="067E7D24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39307144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E09EB640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2468FF5C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38F45D8C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3FCE45D4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26029294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AC06E412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A8"/>
    <w:rsid w:val="00BD2C55"/>
    <w:rsid w:val="00C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6B116-ABCD-408E-AC3B-35AE40B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lang w:eastAsia="en-GB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uiPriority w:val="34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Russell</dc:creator>
  <cp:lastModifiedBy>Mairi Russell</cp:lastModifiedBy>
  <cp:revision>2</cp:revision>
  <dcterms:created xsi:type="dcterms:W3CDTF">2019-09-27T09:12:00Z</dcterms:created>
  <dcterms:modified xsi:type="dcterms:W3CDTF">2019-09-27T09:12:00Z</dcterms:modified>
</cp:coreProperties>
</file>