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C5310" w14:textId="77777777" w:rsidR="00E6365E" w:rsidRPr="00E6365E" w:rsidRDefault="00E6365E" w:rsidP="00E6365E">
      <w:pPr>
        <w:pStyle w:val="1i"/>
        <w:jc w:val="center"/>
        <w:rPr>
          <w:b/>
          <w:sz w:val="40"/>
          <w:szCs w:val="40"/>
        </w:rPr>
      </w:pPr>
      <w:bookmarkStart w:id="0" w:name="_GoBack"/>
      <w:bookmarkEnd w:id="0"/>
      <w:r w:rsidRPr="00E6365E">
        <w:rPr>
          <w:b/>
          <w:sz w:val="40"/>
          <w:szCs w:val="40"/>
        </w:rPr>
        <w:t>INSTITUTE AND FACULTY OF ACTUARIES</w:t>
      </w:r>
    </w:p>
    <w:p w14:paraId="034B775D" w14:textId="77777777" w:rsidR="00E6365E" w:rsidRPr="00E6365E" w:rsidRDefault="00E6365E" w:rsidP="00E6365E">
      <w:pPr>
        <w:rPr>
          <w:rFonts w:cs="Times New Roman"/>
        </w:rPr>
      </w:pPr>
    </w:p>
    <w:p w14:paraId="7010DCAE" w14:textId="77777777" w:rsidR="00E6365E" w:rsidRPr="00E6365E" w:rsidRDefault="00E6365E" w:rsidP="00E6365E">
      <w:pPr>
        <w:rPr>
          <w:rFonts w:cs="Times New Roman"/>
        </w:rPr>
      </w:pPr>
    </w:p>
    <w:p w14:paraId="40C34CB7" w14:textId="77777777" w:rsidR="00A015A5" w:rsidRPr="00A015A5" w:rsidRDefault="00A015A5" w:rsidP="00A015A5">
      <w:pPr>
        <w:pStyle w:val="BodyText"/>
        <w:kinsoku w:val="0"/>
        <w:overflowPunct w:val="0"/>
        <w:spacing w:before="309" w:line="940" w:lineRule="atLeast"/>
        <w:ind w:left="1307" w:right="2009" w:firstLine="720"/>
        <w:jc w:val="center"/>
        <w:rPr>
          <w:b/>
          <w:spacing w:val="-1"/>
          <w:sz w:val="40"/>
          <w:szCs w:val="40"/>
        </w:rPr>
      </w:pPr>
      <w:r w:rsidRPr="00A015A5">
        <w:rPr>
          <w:b/>
          <w:bCs/>
          <w:spacing w:val="-1"/>
          <w:sz w:val="40"/>
          <w:szCs w:val="40"/>
        </w:rPr>
        <w:t>EXAMINATION</w:t>
      </w:r>
    </w:p>
    <w:p w14:paraId="1F62D1EA" w14:textId="69DAF0F1" w:rsidR="00A015A5" w:rsidRPr="00A015A5" w:rsidRDefault="00A015A5" w:rsidP="00A015A5">
      <w:pPr>
        <w:pStyle w:val="BodyText"/>
        <w:kinsoku w:val="0"/>
        <w:overflowPunct w:val="0"/>
        <w:spacing w:before="309" w:line="940" w:lineRule="atLeast"/>
        <w:ind w:left="2027" w:right="2009" w:firstLine="1375"/>
        <w:rPr>
          <w:bCs/>
          <w:spacing w:val="-1"/>
          <w:sz w:val="32"/>
          <w:szCs w:val="32"/>
        </w:rPr>
      </w:pPr>
      <w:r>
        <w:rPr>
          <w:bCs/>
          <w:spacing w:val="-1"/>
          <w:sz w:val="32"/>
          <w:szCs w:val="32"/>
        </w:rPr>
        <w:t>April</w:t>
      </w:r>
      <w:r w:rsidRPr="00A015A5">
        <w:rPr>
          <w:bCs/>
          <w:spacing w:val="-1"/>
          <w:sz w:val="32"/>
          <w:szCs w:val="32"/>
        </w:rPr>
        <w:t xml:space="preserve"> 2019 (am)</w:t>
      </w:r>
    </w:p>
    <w:p w14:paraId="7CFD2186" w14:textId="77777777" w:rsidR="00E6365E" w:rsidRPr="00E6365E" w:rsidRDefault="00E6365E" w:rsidP="00E6365E">
      <w:pPr>
        <w:jc w:val="center"/>
        <w:rPr>
          <w:rFonts w:cs="Times New Roman"/>
          <w:b/>
        </w:rPr>
      </w:pPr>
    </w:p>
    <w:p w14:paraId="3EB34575" w14:textId="77777777" w:rsidR="00A015A5" w:rsidRPr="00A015A5" w:rsidRDefault="00A015A5" w:rsidP="00A015A5">
      <w:pPr>
        <w:pStyle w:val="Heading2"/>
        <w:kinsoku w:val="0"/>
        <w:overflowPunct w:val="0"/>
        <w:spacing w:line="384" w:lineRule="exact"/>
        <w:ind w:left="1843" w:right="1938" w:hanging="614"/>
        <w:jc w:val="center"/>
        <w:rPr>
          <w:rFonts w:ascii="Times New Roman" w:hAnsi="Times New Roman"/>
          <w:i w:val="0"/>
          <w:color w:val="201D1E"/>
          <w:sz w:val="36"/>
          <w:szCs w:val="36"/>
        </w:rPr>
      </w:pPr>
      <w:r w:rsidRPr="00A015A5">
        <w:rPr>
          <w:rFonts w:ascii="Times New Roman" w:hAnsi="Times New Roman"/>
          <w:i w:val="0"/>
          <w:color w:val="201D1E"/>
          <w:spacing w:val="-1"/>
          <w:sz w:val="36"/>
          <w:szCs w:val="36"/>
        </w:rPr>
        <w:t>Subject</w:t>
      </w:r>
      <w:r w:rsidRPr="00A015A5">
        <w:rPr>
          <w:rFonts w:ascii="Times New Roman" w:hAnsi="Times New Roman"/>
          <w:i w:val="0"/>
          <w:color w:val="201D1E"/>
          <w:spacing w:val="2"/>
          <w:sz w:val="36"/>
          <w:szCs w:val="36"/>
        </w:rPr>
        <w:t xml:space="preserve"> </w:t>
      </w:r>
      <w:r w:rsidRPr="00A015A5">
        <w:rPr>
          <w:rFonts w:ascii="Times New Roman" w:hAnsi="Times New Roman"/>
          <w:i w:val="0"/>
          <w:color w:val="201D1E"/>
          <w:spacing w:val="-1"/>
          <w:sz w:val="36"/>
          <w:szCs w:val="36"/>
        </w:rPr>
        <w:t>CP2</w:t>
      </w:r>
      <w:r w:rsidRPr="00A015A5">
        <w:rPr>
          <w:rFonts w:ascii="Times New Roman" w:hAnsi="Times New Roman"/>
          <w:i w:val="0"/>
          <w:color w:val="201D1E"/>
          <w:spacing w:val="1"/>
          <w:sz w:val="36"/>
          <w:szCs w:val="36"/>
        </w:rPr>
        <w:t xml:space="preserve"> </w:t>
      </w:r>
      <w:r w:rsidRPr="00A015A5">
        <w:rPr>
          <w:rFonts w:ascii="Times New Roman" w:hAnsi="Times New Roman"/>
          <w:i w:val="0"/>
          <w:color w:val="000000"/>
          <w:sz w:val="36"/>
          <w:szCs w:val="36"/>
        </w:rPr>
        <w:t>–</w:t>
      </w:r>
      <w:r w:rsidRPr="00A015A5">
        <w:rPr>
          <w:rFonts w:ascii="Times New Roman" w:hAnsi="Times New Roman"/>
          <w:i w:val="0"/>
          <w:color w:val="000000"/>
          <w:spacing w:val="-2"/>
          <w:sz w:val="36"/>
          <w:szCs w:val="36"/>
        </w:rPr>
        <w:t xml:space="preserve"> </w:t>
      </w:r>
      <w:r w:rsidRPr="00A015A5">
        <w:rPr>
          <w:rFonts w:ascii="Times New Roman" w:hAnsi="Times New Roman"/>
          <w:i w:val="0"/>
          <w:color w:val="201D1E"/>
          <w:sz w:val="36"/>
          <w:szCs w:val="36"/>
        </w:rPr>
        <w:t>Modelling Practice</w:t>
      </w:r>
    </w:p>
    <w:p w14:paraId="7E7C6960" w14:textId="77777777" w:rsidR="00A015A5" w:rsidRPr="00A015A5" w:rsidRDefault="00A015A5" w:rsidP="00C45243">
      <w:pPr>
        <w:pStyle w:val="Heading2"/>
        <w:kinsoku w:val="0"/>
        <w:overflowPunct w:val="0"/>
        <w:spacing w:line="384" w:lineRule="exact"/>
        <w:ind w:left="2127" w:right="1938"/>
        <w:jc w:val="center"/>
        <w:rPr>
          <w:rFonts w:ascii="Times New Roman" w:hAnsi="Times New Roman"/>
          <w:i w:val="0"/>
          <w:color w:val="201D1E"/>
          <w:sz w:val="36"/>
          <w:szCs w:val="36"/>
        </w:rPr>
      </w:pPr>
      <w:r w:rsidRPr="00A015A5">
        <w:rPr>
          <w:rFonts w:ascii="Times New Roman" w:hAnsi="Times New Roman"/>
          <w:i w:val="0"/>
          <w:color w:val="201D1E"/>
          <w:sz w:val="36"/>
          <w:szCs w:val="36"/>
        </w:rPr>
        <w:t>Core Practices</w:t>
      </w:r>
    </w:p>
    <w:p w14:paraId="044F255F" w14:textId="77777777" w:rsidR="00E6365E" w:rsidRPr="00E6365E" w:rsidRDefault="00E6365E" w:rsidP="00E6365E">
      <w:pPr>
        <w:jc w:val="center"/>
        <w:rPr>
          <w:rFonts w:cs="Times New Roman"/>
          <w:b/>
          <w:sz w:val="36"/>
          <w:szCs w:val="36"/>
        </w:rPr>
      </w:pPr>
    </w:p>
    <w:p w14:paraId="6B594F87" w14:textId="72551163" w:rsidR="00E6365E" w:rsidRPr="00E6365E" w:rsidRDefault="00E6365E" w:rsidP="00E6365E">
      <w:pPr>
        <w:jc w:val="center"/>
        <w:rPr>
          <w:rFonts w:cs="Times New Roman"/>
          <w:b/>
          <w:sz w:val="36"/>
          <w:szCs w:val="36"/>
        </w:rPr>
      </w:pPr>
      <w:r w:rsidRPr="00E6365E">
        <w:rPr>
          <w:rFonts w:cs="Times New Roman"/>
          <w:b/>
          <w:sz w:val="36"/>
          <w:szCs w:val="36"/>
        </w:rPr>
        <w:t xml:space="preserve">Paper </w:t>
      </w:r>
      <w:r>
        <w:rPr>
          <w:rFonts w:cs="Times New Roman"/>
          <w:b/>
          <w:sz w:val="36"/>
          <w:szCs w:val="36"/>
        </w:rPr>
        <w:t>2</w:t>
      </w:r>
    </w:p>
    <w:p w14:paraId="5C4CD9B7" w14:textId="77777777" w:rsidR="005E105D" w:rsidRDefault="005E105D" w:rsidP="005E105D">
      <w:pPr>
        <w:tabs>
          <w:tab w:val="right" w:pos="9000"/>
        </w:tabs>
        <w:rPr>
          <w:rFonts w:cs="Times New Roman"/>
        </w:rPr>
      </w:pPr>
    </w:p>
    <w:p w14:paraId="56216CB6" w14:textId="77777777" w:rsidR="00A015A5" w:rsidRDefault="00A015A5" w:rsidP="00A015A5">
      <w:pPr>
        <w:pStyle w:val="BodyText"/>
        <w:kinsoku w:val="0"/>
        <w:overflowPunct w:val="0"/>
        <w:rPr>
          <w:sz w:val="20"/>
        </w:rPr>
      </w:pPr>
    </w:p>
    <w:p w14:paraId="5B5471D5" w14:textId="77777777" w:rsidR="00A015A5" w:rsidRDefault="00A015A5" w:rsidP="00A015A5">
      <w:pPr>
        <w:pStyle w:val="BodyText"/>
        <w:kinsoku w:val="0"/>
        <w:overflowPunct w:val="0"/>
        <w:rPr>
          <w:sz w:val="20"/>
        </w:rPr>
      </w:pPr>
    </w:p>
    <w:p w14:paraId="519FF1E9" w14:textId="77777777" w:rsidR="00A015A5" w:rsidRPr="00A015A5" w:rsidRDefault="00A015A5" w:rsidP="00A015A5">
      <w:pPr>
        <w:pStyle w:val="BodyText"/>
        <w:kinsoku w:val="0"/>
        <w:overflowPunct w:val="0"/>
        <w:ind w:right="-46"/>
        <w:jc w:val="center"/>
        <w:rPr>
          <w:b/>
          <w:bCs/>
          <w:sz w:val="40"/>
          <w:szCs w:val="40"/>
        </w:rPr>
      </w:pPr>
      <w:r w:rsidRPr="00A015A5">
        <w:rPr>
          <w:b/>
          <w:spacing w:val="-1"/>
          <w:sz w:val="40"/>
          <w:szCs w:val="40"/>
        </w:rPr>
        <w:t>SUMMARY</w:t>
      </w:r>
    </w:p>
    <w:p w14:paraId="0B491C13" w14:textId="77777777" w:rsidR="005E105D" w:rsidRDefault="005E105D" w:rsidP="005E105D">
      <w:pPr>
        <w:tabs>
          <w:tab w:val="right" w:pos="9000"/>
        </w:tabs>
        <w:rPr>
          <w:rFonts w:cs="Times New Roman"/>
        </w:rPr>
      </w:pPr>
    </w:p>
    <w:p w14:paraId="0EC6A92C" w14:textId="77777777" w:rsidR="005E105D" w:rsidRDefault="005E105D" w:rsidP="005E105D">
      <w:pPr>
        <w:tabs>
          <w:tab w:val="right" w:pos="9000"/>
        </w:tabs>
        <w:rPr>
          <w:rFonts w:cs="Times New Roman"/>
        </w:rPr>
      </w:pPr>
    </w:p>
    <w:p w14:paraId="7654AD29" w14:textId="77777777" w:rsidR="005E105D" w:rsidRDefault="005E105D" w:rsidP="005E105D">
      <w:pPr>
        <w:tabs>
          <w:tab w:val="right" w:pos="9000"/>
        </w:tabs>
        <w:rPr>
          <w:rFonts w:cs="Times New Roman"/>
        </w:rPr>
      </w:pPr>
    </w:p>
    <w:p w14:paraId="2983F63B" w14:textId="77777777" w:rsidR="005E105D" w:rsidRDefault="005E105D" w:rsidP="005E105D">
      <w:pPr>
        <w:tabs>
          <w:tab w:val="right" w:pos="9000"/>
        </w:tabs>
        <w:rPr>
          <w:rFonts w:cs="Times New Roman"/>
        </w:rPr>
      </w:pPr>
    </w:p>
    <w:p w14:paraId="468A047C" w14:textId="77777777" w:rsidR="005E105D" w:rsidRDefault="005E105D" w:rsidP="005E105D">
      <w:pPr>
        <w:tabs>
          <w:tab w:val="right" w:pos="9000"/>
        </w:tabs>
        <w:rPr>
          <w:rFonts w:cs="Times New Roman"/>
        </w:rPr>
      </w:pPr>
    </w:p>
    <w:p w14:paraId="37DAD4BA" w14:textId="77777777" w:rsidR="005E105D" w:rsidRDefault="005E105D" w:rsidP="005E105D">
      <w:pPr>
        <w:tabs>
          <w:tab w:val="right" w:pos="9000"/>
        </w:tabs>
        <w:rPr>
          <w:rFonts w:cs="Times New Roman"/>
        </w:rPr>
      </w:pPr>
    </w:p>
    <w:p w14:paraId="611FA894" w14:textId="77777777" w:rsidR="005E105D" w:rsidRDefault="005E105D" w:rsidP="005E105D">
      <w:pPr>
        <w:tabs>
          <w:tab w:val="right" w:pos="9000"/>
        </w:tabs>
        <w:rPr>
          <w:rFonts w:cs="Times New Roman"/>
        </w:rPr>
      </w:pPr>
    </w:p>
    <w:p w14:paraId="16931AC6" w14:textId="77777777" w:rsidR="005E105D" w:rsidRDefault="005E105D" w:rsidP="005E105D">
      <w:pPr>
        <w:tabs>
          <w:tab w:val="right" w:pos="9000"/>
        </w:tabs>
        <w:rPr>
          <w:rFonts w:cs="Times New Roman"/>
        </w:rPr>
      </w:pPr>
    </w:p>
    <w:p w14:paraId="2476CBB6" w14:textId="77777777" w:rsidR="005E105D" w:rsidRDefault="005E105D" w:rsidP="005E105D">
      <w:pPr>
        <w:tabs>
          <w:tab w:val="right" w:pos="9000"/>
        </w:tabs>
        <w:rPr>
          <w:rFonts w:cs="Times New Roman"/>
        </w:rPr>
      </w:pPr>
    </w:p>
    <w:p w14:paraId="7C71DE47" w14:textId="77777777" w:rsidR="005E105D" w:rsidRDefault="005E105D" w:rsidP="005E105D">
      <w:pPr>
        <w:tabs>
          <w:tab w:val="right" w:pos="9000"/>
        </w:tabs>
        <w:rPr>
          <w:rFonts w:cs="Times New Roman"/>
        </w:rPr>
      </w:pPr>
    </w:p>
    <w:p w14:paraId="37694FD7" w14:textId="77777777" w:rsidR="005E105D" w:rsidRDefault="005E105D" w:rsidP="005E105D">
      <w:pPr>
        <w:tabs>
          <w:tab w:val="right" w:pos="9000"/>
        </w:tabs>
        <w:rPr>
          <w:rFonts w:cs="Times New Roman"/>
        </w:rPr>
      </w:pPr>
    </w:p>
    <w:p w14:paraId="5E28C34B" w14:textId="77777777" w:rsidR="005E105D" w:rsidRDefault="005E105D" w:rsidP="005E105D">
      <w:pPr>
        <w:tabs>
          <w:tab w:val="right" w:pos="9000"/>
        </w:tabs>
        <w:rPr>
          <w:rFonts w:cs="Times New Roman"/>
        </w:rPr>
      </w:pPr>
    </w:p>
    <w:p w14:paraId="5CD90C6E" w14:textId="77777777" w:rsidR="005E105D" w:rsidRDefault="005E105D" w:rsidP="005E105D">
      <w:pPr>
        <w:tabs>
          <w:tab w:val="right" w:pos="9000"/>
        </w:tabs>
        <w:rPr>
          <w:rFonts w:cs="Times New Roman"/>
        </w:rPr>
      </w:pPr>
    </w:p>
    <w:p w14:paraId="0DBEBF4A" w14:textId="77777777" w:rsidR="005E105D" w:rsidRDefault="005E105D" w:rsidP="005E105D">
      <w:pPr>
        <w:tabs>
          <w:tab w:val="right" w:pos="9000"/>
        </w:tabs>
        <w:rPr>
          <w:rFonts w:cs="Times New Roman"/>
        </w:rPr>
      </w:pPr>
    </w:p>
    <w:p w14:paraId="69BD3FDD" w14:textId="77777777" w:rsidR="005E105D" w:rsidRDefault="005E105D" w:rsidP="005E105D">
      <w:pPr>
        <w:tabs>
          <w:tab w:val="right" w:pos="9000"/>
        </w:tabs>
        <w:rPr>
          <w:rFonts w:cs="Times New Roman"/>
        </w:rPr>
      </w:pPr>
    </w:p>
    <w:p w14:paraId="1C47F427" w14:textId="77777777" w:rsidR="005E105D" w:rsidRDefault="005E105D" w:rsidP="005E105D">
      <w:pPr>
        <w:tabs>
          <w:tab w:val="right" w:pos="9000"/>
        </w:tabs>
        <w:rPr>
          <w:rFonts w:cs="Times New Roman"/>
        </w:rPr>
      </w:pPr>
    </w:p>
    <w:p w14:paraId="0F6E411B" w14:textId="77777777" w:rsidR="005E105D" w:rsidRDefault="005E105D" w:rsidP="005E105D">
      <w:pPr>
        <w:tabs>
          <w:tab w:val="right" w:pos="9000"/>
        </w:tabs>
        <w:rPr>
          <w:rFonts w:cs="Times New Roman"/>
        </w:rPr>
      </w:pPr>
    </w:p>
    <w:p w14:paraId="13C4607C" w14:textId="77777777" w:rsidR="005E105D" w:rsidRDefault="005E105D" w:rsidP="005E105D">
      <w:pPr>
        <w:tabs>
          <w:tab w:val="right" w:pos="9000"/>
        </w:tabs>
        <w:rPr>
          <w:rFonts w:cs="Times New Roman"/>
        </w:rPr>
      </w:pPr>
    </w:p>
    <w:p w14:paraId="6FB626F2" w14:textId="77777777" w:rsidR="005E105D" w:rsidRDefault="005E105D" w:rsidP="005E105D">
      <w:pPr>
        <w:tabs>
          <w:tab w:val="right" w:pos="9000"/>
        </w:tabs>
        <w:rPr>
          <w:rFonts w:cs="Times New Roman"/>
        </w:rPr>
      </w:pPr>
    </w:p>
    <w:p w14:paraId="3A011111" w14:textId="77777777" w:rsidR="005E105D" w:rsidRDefault="005E105D" w:rsidP="005E105D">
      <w:pPr>
        <w:tabs>
          <w:tab w:val="right" w:pos="9000"/>
        </w:tabs>
        <w:rPr>
          <w:rFonts w:cs="Times New Roman"/>
        </w:rPr>
      </w:pPr>
    </w:p>
    <w:p w14:paraId="55F89C74" w14:textId="77777777" w:rsidR="005E105D" w:rsidRDefault="005E105D" w:rsidP="005E105D">
      <w:pPr>
        <w:tabs>
          <w:tab w:val="right" w:pos="9000"/>
        </w:tabs>
        <w:rPr>
          <w:rFonts w:cs="Times New Roman"/>
        </w:rPr>
      </w:pPr>
    </w:p>
    <w:p w14:paraId="3D9701D5" w14:textId="77777777" w:rsidR="005E105D" w:rsidRDefault="005E105D" w:rsidP="005E105D">
      <w:pPr>
        <w:tabs>
          <w:tab w:val="right" w:pos="9000"/>
        </w:tabs>
        <w:rPr>
          <w:rFonts w:cs="Times New Roman"/>
        </w:rPr>
      </w:pPr>
    </w:p>
    <w:p w14:paraId="652E0D3C" w14:textId="77777777" w:rsidR="005E105D" w:rsidRDefault="005E105D" w:rsidP="005E105D">
      <w:pPr>
        <w:tabs>
          <w:tab w:val="right" w:pos="9000"/>
        </w:tabs>
        <w:rPr>
          <w:rFonts w:cs="Times New Roman"/>
        </w:rPr>
      </w:pPr>
    </w:p>
    <w:p w14:paraId="32BEB43A" w14:textId="77777777" w:rsidR="005E105D" w:rsidRDefault="005E105D" w:rsidP="005E105D">
      <w:pPr>
        <w:tabs>
          <w:tab w:val="right" w:pos="9000"/>
        </w:tabs>
        <w:rPr>
          <w:rFonts w:cs="Times New Roman"/>
        </w:rPr>
      </w:pPr>
    </w:p>
    <w:p w14:paraId="5914F175" w14:textId="77777777" w:rsidR="005E105D" w:rsidRDefault="005E105D" w:rsidP="005E105D">
      <w:pPr>
        <w:tabs>
          <w:tab w:val="right" w:pos="9000"/>
        </w:tabs>
        <w:rPr>
          <w:rFonts w:cs="Times New Roman"/>
        </w:rPr>
      </w:pPr>
    </w:p>
    <w:p w14:paraId="137FEDEC" w14:textId="5ABB830E" w:rsidR="005E105D" w:rsidRDefault="000A5E2A" w:rsidP="005E105D">
      <w:pPr>
        <w:tabs>
          <w:tab w:val="right" w:pos="9000"/>
        </w:tabs>
        <w:rPr>
          <w:rFonts w:cs="Times New Roman"/>
        </w:rPr>
      </w:pPr>
      <w:r>
        <w:rPr>
          <w:rFonts w:cs="Times New Roman"/>
        </w:rPr>
        <w:tab/>
      </w:r>
    </w:p>
    <w:p w14:paraId="2DD73719" w14:textId="77777777" w:rsidR="005E105D" w:rsidRDefault="005E105D" w:rsidP="005E105D">
      <w:pPr>
        <w:tabs>
          <w:tab w:val="right" w:pos="9000"/>
        </w:tabs>
        <w:rPr>
          <w:rFonts w:cs="Times New Roman"/>
        </w:rPr>
      </w:pPr>
    </w:p>
    <w:p w14:paraId="3469950C" w14:textId="77777777" w:rsidR="005E105D" w:rsidRDefault="005E105D" w:rsidP="005E105D">
      <w:pPr>
        <w:tabs>
          <w:tab w:val="right" w:pos="9000"/>
        </w:tabs>
        <w:rPr>
          <w:rFonts w:cs="Times New Roman"/>
        </w:rPr>
      </w:pPr>
    </w:p>
    <w:p w14:paraId="5187B477" w14:textId="77777777" w:rsidR="005E105D" w:rsidRPr="005E105D" w:rsidRDefault="005E105D" w:rsidP="005E105D">
      <w:pPr>
        <w:tabs>
          <w:tab w:val="right" w:pos="9000"/>
        </w:tabs>
        <w:rPr>
          <w:rFonts w:cs="Times New Roman"/>
        </w:rPr>
      </w:pPr>
    </w:p>
    <w:p w14:paraId="5E232187" w14:textId="77777777" w:rsidR="005E105D" w:rsidRPr="005E105D" w:rsidRDefault="005E105D" w:rsidP="005E105D">
      <w:pPr>
        <w:tabs>
          <w:tab w:val="right" w:pos="9000"/>
        </w:tabs>
        <w:rPr>
          <w:rFonts w:cs="Times New Roman"/>
          <w:szCs w:val="24"/>
        </w:rPr>
        <w:sectPr w:rsidR="005E105D" w:rsidRPr="005E105D" w:rsidSect="00C70792">
          <w:headerReference w:type="even" r:id="rId8"/>
          <w:headerReference w:type="default" r:id="rId9"/>
          <w:footerReference w:type="even" r:id="rId10"/>
          <w:footerReference w:type="default" r:id="rId11"/>
          <w:footerReference w:type="first" r:id="rId12"/>
          <w:pgSz w:w="11906" w:h="16838" w:code="9"/>
          <w:pgMar w:top="720" w:right="1440" w:bottom="720" w:left="1440" w:header="720" w:footer="720" w:gutter="0"/>
          <w:paperSrc w:first="7" w:other="7"/>
          <w:cols w:space="708"/>
          <w:titlePg/>
          <w:docGrid w:linePitch="360"/>
        </w:sectPr>
      </w:pPr>
      <w:r w:rsidRPr="005E105D">
        <w:rPr>
          <w:rFonts w:cs="Times New Roman"/>
          <w:szCs w:val="24"/>
        </w:rPr>
        <w:tab/>
      </w:r>
    </w:p>
    <w:p w14:paraId="5BF6A4E7" w14:textId="3898CE30" w:rsidR="0048224A" w:rsidRPr="00885553" w:rsidRDefault="00F81077">
      <w:pPr>
        <w:rPr>
          <w:rFonts w:eastAsia="Times New Roman" w:cs="Times New Roman"/>
          <w:b/>
          <w:sz w:val="32"/>
          <w:szCs w:val="32"/>
        </w:rPr>
      </w:pPr>
      <w:r>
        <w:rPr>
          <w:rFonts w:eastAsia="Times New Roman" w:cs="Times New Roman"/>
          <w:b/>
          <w:sz w:val="32"/>
          <w:szCs w:val="32"/>
        </w:rPr>
        <w:lastRenderedPageBreak/>
        <w:t xml:space="preserve">Analysis </w:t>
      </w:r>
      <w:r w:rsidR="00A61D04">
        <w:rPr>
          <w:rFonts w:eastAsia="Times New Roman" w:cs="Times New Roman"/>
          <w:b/>
          <w:sz w:val="32"/>
          <w:szCs w:val="32"/>
        </w:rPr>
        <w:t xml:space="preserve">of </w:t>
      </w:r>
      <w:r w:rsidR="00A01854">
        <w:rPr>
          <w:rFonts w:eastAsia="Times New Roman" w:cs="Times New Roman"/>
          <w:b/>
          <w:sz w:val="32"/>
          <w:szCs w:val="32"/>
        </w:rPr>
        <w:t>Auto</w:t>
      </w:r>
      <w:r w:rsidR="008F75EB">
        <w:rPr>
          <w:rFonts w:eastAsia="Times New Roman" w:cs="Times New Roman"/>
          <w:b/>
          <w:sz w:val="32"/>
          <w:szCs w:val="32"/>
        </w:rPr>
        <w:t>make’s pension cashflow project</w:t>
      </w:r>
    </w:p>
    <w:p w14:paraId="332E0EAB" w14:textId="77777777" w:rsidR="007F210B" w:rsidRDefault="007F210B">
      <w:pPr>
        <w:rPr>
          <w:rFonts w:eastAsia="Times New Roman" w:cs="Times New Roman"/>
          <w:b/>
          <w:sz w:val="28"/>
          <w:szCs w:val="28"/>
        </w:rPr>
      </w:pPr>
    </w:p>
    <w:p w14:paraId="20212216" w14:textId="77777777" w:rsidR="0062601B" w:rsidRPr="00F1301B" w:rsidRDefault="0062601B">
      <w:pPr>
        <w:rPr>
          <w:rFonts w:eastAsia="Times New Roman" w:cs="Times New Roman"/>
          <w:b/>
          <w:sz w:val="28"/>
          <w:szCs w:val="28"/>
        </w:rPr>
      </w:pPr>
      <w:r w:rsidRPr="00F1301B">
        <w:rPr>
          <w:rFonts w:eastAsia="Times New Roman" w:cs="Times New Roman"/>
          <w:b/>
          <w:sz w:val="28"/>
          <w:szCs w:val="28"/>
        </w:rPr>
        <w:t>Objective</w:t>
      </w:r>
    </w:p>
    <w:p w14:paraId="32257C9C" w14:textId="77777777" w:rsidR="0062601B" w:rsidRDefault="0062601B">
      <w:pPr>
        <w:rPr>
          <w:rFonts w:eastAsia="Times New Roman" w:cs="Times New Roman"/>
          <w:szCs w:val="24"/>
        </w:rPr>
      </w:pPr>
    </w:p>
    <w:p w14:paraId="531AD143" w14:textId="1D62F461" w:rsidR="00FB1CBD" w:rsidRDefault="00DE4A8F">
      <w:pPr>
        <w:rPr>
          <w:szCs w:val="24"/>
        </w:rPr>
      </w:pPr>
      <w:r>
        <w:rPr>
          <w:szCs w:val="24"/>
        </w:rPr>
        <w:t>Our client</w:t>
      </w:r>
      <w:r w:rsidR="00051C5D">
        <w:rPr>
          <w:szCs w:val="24"/>
        </w:rPr>
        <w:t xml:space="preserve">, </w:t>
      </w:r>
      <w:r w:rsidR="00F81077">
        <w:rPr>
          <w:szCs w:val="24"/>
        </w:rPr>
        <w:t>Martin</w:t>
      </w:r>
      <w:r w:rsidR="00051C5D">
        <w:rPr>
          <w:szCs w:val="24"/>
        </w:rPr>
        <w:t>,</w:t>
      </w:r>
      <w:r>
        <w:rPr>
          <w:szCs w:val="24"/>
        </w:rPr>
        <w:t xml:space="preserve"> is the </w:t>
      </w:r>
      <w:r w:rsidR="00F81077">
        <w:rPr>
          <w:szCs w:val="24"/>
        </w:rPr>
        <w:t>HR manager</w:t>
      </w:r>
      <w:r w:rsidR="00FB1CBD">
        <w:rPr>
          <w:szCs w:val="24"/>
        </w:rPr>
        <w:t xml:space="preserve"> of </w:t>
      </w:r>
      <w:r w:rsidR="00F81077">
        <w:rPr>
          <w:szCs w:val="24"/>
        </w:rPr>
        <w:t>Automake</w:t>
      </w:r>
      <w:r w:rsidR="00FB1CBD">
        <w:rPr>
          <w:szCs w:val="24"/>
        </w:rPr>
        <w:t xml:space="preserve">, a </w:t>
      </w:r>
      <w:r w:rsidR="00274822">
        <w:rPr>
          <w:szCs w:val="24"/>
        </w:rPr>
        <w:t xml:space="preserve">manufacturing company.  </w:t>
      </w:r>
      <w:r w:rsidR="008C0B30">
        <w:rPr>
          <w:szCs w:val="24"/>
        </w:rPr>
        <w:t>The purpose of the project is to</w:t>
      </w:r>
      <w:r w:rsidR="00482E9F">
        <w:rPr>
          <w:szCs w:val="24"/>
        </w:rPr>
        <w:t xml:space="preserve"> investigate the effect of two proposals to </w:t>
      </w:r>
      <w:r w:rsidR="00F81077">
        <w:rPr>
          <w:szCs w:val="24"/>
        </w:rPr>
        <w:t>reduce the uncertainty of the</w:t>
      </w:r>
      <w:r w:rsidR="00482E9F">
        <w:rPr>
          <w:szCs w:val="24"/>
        </w:rPr>
        <w:t xml:space="preserve"> future</w:t>
      </w:r>
      <w:r w:rsidR="008C0B30">
        <w:rPr>
          <w:szCs w:val="24"/>
        </w:rPr>
        <w:t xml:space="preserve"> expected</w:t>
      </w:r>
      <w:r w:rsidR="00482E9F">
        <w:rPr>
          <w:szCs w:val="24"/>
        </w:rPr>
        <w:t xml:space="preserve"> </w:t>
      </w:r>
      <w:r w:rsidR="00545F9A">
        <w:rPr>
          <w:szCs w:val="24"/>
        </w:rPr>
        <w:t xml:space="preserve">pension </w:t>
      </w:r>
      <w:r w:rsidR="00482E9F">
        <w:rPr>
          <w:szCs w:val="24"/>
        </w:rPr>
        <w:t>cashflows.</w:t>
      </w:r>
      <w:r w:rsidR="00F81077">
        <w:rPr>
          <w:szCs w:val="24"/>
        </w:rPr>
        <w:t xml:space="preserve"> </w:t>
      </w:r>
    </w:p>
    <w:p w14:paraId="095FDDFF" w14:textId="77777777" w:rsidR="00C40271" w:rsidRDefault="00C40271">
      <w:pPr>
        <w:rPr>
          <w:szCs w:val="24"/>
        </w:rPr>
      </w:pPr>
    </w:p>
    <w:p w14:paraId="5472198E" w14:textId="1EE2C697" w:rsidR="00FB1CBD" w:rsidRDefault="006E06BC">
      <w:pPr>
        <w:rPr>
          <w:szCs w:val="24"/>
        </w:rPr>
      </w:pPr>
      <w:r>
        <w:rPr>
          <w:szCs w:val="24"/>
        </w:rPr>
        <w:t>Proposal</w:t>
      </w:r>
      <w:r w:rsidR="00C40271" w:rsidRPr="00C40271">
        <w:rPr>
          <w:szCs w:val="24"/>
        </w:rPr>
        <w:t xml:space="preserve"> 1 is a Pension Increase Exchange (PIE) </w:t>
      </w:r>
      <w:r>
        <w:rPr>
          <w:szCs w:val="24"/>
        </w:rPr>
        <w:t>proposal. M</w:t>
      </w:r>
      <w:r w:rsidR="00C40271">
        <w:rPr>
          <w:szCs w:val="24"/>
        </w:rPr>
        <w:t>embers</w:t>
      </w:r>
      <w:r>
        <w:rPr>
          <w:szCs w:val="24"/>
        </w:rPr>
        <w:t xml:space="preserve"> under age 65</w:t>
      </w:r>
      <w:r w:rsidR="00C40271">
        <w:rPr>
          <w:szCs w:val="24"/>
        </w:rPr>
        <w:t xml:space="preserve"> would be invited</w:t>
      </w:r>
      <w:r w:rsidR="00D02A01">
        <w:rPr>
          <w:szCs w:val="24"/>
        </w:rPr>
        <w:t xml:space="preserve"> on 1 January 2020</w:t>
      </w:r>
      <w:r w:rsidR="00C40271">
        <w:rPr>
          <w:szCs w:val="24"/>
        </w:rPr>
        <w:t xml:space="preserve"> to exchange their</w:t>
      </w:r>
      <w:r w:rsidR="00D02A01">
        <w:rPr>
          <w:szCs w:val="24"/>
        </w:rPr>
        <w:t xml:space="preserve"> existing</w:t>
      </w:r>
      <w:r w:rsidR="00C40271">
        <w:rPr>
          <w:szCs w:val="24"/>
        </w:rPr>
        <w:t xml:space="preserve"> pension </w:t>
      </w:r>
      <w:r w:rsidR="00821B11">
        <w:rPr>
          <w:szCs w:val="24"/>
        </w:rPr>
        <w:t xml:space="preserve">with </w:t>
      </w:r>
      <w:r w:rsidR="00C40271">
        <w:rPr>
          <w:szCs w:val="24"/>
        </w:rPr>
        <w:t>inflationary increases after retirement for a higher amount of pension</w:t>
      </w:r>
      <w:r w:rsidR="00821B11">
        <w:rPr>
          <w:szCs w:val="24"/>
        </w:rPr>
        <w:t xml:space="preserve"> at retirement with no increases</w:t>
      </w:r>
      <w:r w:rsidR="00C40271">
        <w:rPr>
          <w:szCs w:val="24"/>
        </w:rPr>
        <w:t>.</w:t>
      </w:r>
      <w:r w:rsidR="00E337E5">
        <w:rPr>
          <w:szCs w:val="24"/>
        </w:rPr>
        <w:t xml:space="preserve"> The higher amount should be set such that each member is offered the same percentage increase to their existing pens</w:t>
      </w:r>
      <w:r w:rsidR="00545F9A">
        <w:rPr>
          <w:szCs w:val="24"/>
        </w:rPr>
        <w:t>i</w:t>
      </w:r>
      <w:r w:rsidR="00E337E5">
        <w:rPr>
          <w:szCs w:val="24"/>
        </w:rPr>
        <w:t>on, such that the total expected present value of all future pension payment cashflows on the PIE proposal and the existing pensions are equal.</w:t>
      </w:r>
    </w:p>
    <w:p w14:paraId="17CB64BF" w14:textId="77777777" w:rsidR="00C40271" w:rsidRDefault="00C40271">
      <w:pPr>
        <w:rPr>
          <w:szCs w:val="24"/>
        </w:rPr>
      </w:pPr>
    </w:p>
    <w:p w14:paraId="0D652300" w14:textId="12F61E5D" w:rsidR="00C40271" w:rsidRPr="00C40271" w:rsidRDefault="006E06BC" w:rsidP="00C40271">
      <w:pPr>
        <w:rPr>
          <w:szCs w:val="24"/>
        </w:rPr>
      </w:pPr>
      <w:r>
        <w:rPr>
          <w:szCs w:val="24"/>
        </w:rPr>
        <w:t>Proposal 2 is a</w:t>
      </w:r>
      <w:r w:rsidR="00C40271">
        <w:rPr>
          <w:szCs w:val="24"/>
        </w:rPr>
        <w:t xml:space="preserve"> </w:t>
      </w:r>
      <w:r>
        <w:rPr>
          <w:szCs w:val="24"/>
        </w:rPr>
        <w:t>Lump Sum (LS</w:t>
      </w:r>
      <w:r w:rsidR="00C40271" w:rsidRPr="00C40271">
        <w:rPr>
          <w:szCs w:val="24"/>
        </w:rPr>
        <w:t xml:space="preserve">) </w:t>
      </w:r>
      <w:r>
        <w:rPr>
          <w:szCs w:val="24"/>
        </w:rPr>
        <w:t>proposal.  M</w:t>
      </w:r>
      <w:r w:rsidR="00C40271">
        <w:rPr>
          <w:szCs w:val="24"/>
        </w:rPr>
        <w:t>ember</w:t>
      </w:r>
      <w:r w:rsidR="00274822">
        <w:rPr>
          <w:szCs w:val="24"/>
        </w:rPr>
        <w:t>s</w:t>
      </w:r>
      <w:r>
        <w:rPr>
          <w:szCs w:val="24"/>
        </w:rPr>
        <w:t xml:space="preserve"> under age 65</w:t>
      </w:r>
      <w:r w:rsidR="00C40271">
        <w:rPr>
          <w:szCs w:val="24"/>
        </w:rPr>
        <w:t xml:space="preserve"> would </w:t>
      </w:r>
      <w:r w:rsidR="008C0B30">
        <w:rPr>
          <w:szCs w:val="24"/>
        </w:rPr>
        <w:t>be invited to take a lump sum</w:t>
      </w:r>
      <w:r w:rsidR="008C0B30" w:rsidRPr="008C0B30">
        <w:rPr>
          <w:szCs w:val="24"/>
        </w:rPr>
        <w:t xml:space="preserve"> </w:t>
      </w:r>
      <w:r w:rsidR="008C0B30">
        <w:rPr>
          <w:szCs w:val="24"/>
        </w:rPr>
        <w:t xml:space="preserve">at 1 January 2020 which is </w:t>
      </w:r>
      <w:r w:rsidR="002E2DCC">
        <w:rPr>
          <w:szCs w:val="24"/>
        </w:rPr>
        <w:t>110% of</w:t>
      </w:r>
      <w:r w:rsidR="008C0B30">
        <w:rPr>
          <w:szCs w:val="24"/>
        </w:rPr>
        <w:t xml:space="preserve"> the </w:t>
      </w:r>
      <w:r>
        <w:rPr>
          <w:szCs w:val="24"/>
        </w:rPr>
        <w:t xml:space="preserve">expected </w:t>
      </w:r>
      <w:r w:rsidR="00D02A01">
        <w:rPr>
          <w:szCs w:val="24"/>
        </w:rPr>
        <w:t xml:space="preserve">present value of </w:t>
      </w:r>
      <w:r w:rsidR="00821B11">
        <w:rPr>
          <w:szCs w:val="24"/>
        </w:rPr>
        <w:t xml:space="preserve">all </w:t>
      </w:r>
      <w:r w:rsidR="00D02A01">
        <w:rPr>
          <w:szCs w:val="24"/>
        </w:rPr>
        <w:t>their existing</w:t>
      </w:r>
      <w:r w:rsidR="00821B11">
        <w:rPr>
          <w:szCs w:val="24"/>
        </w:rPr>
        <w:t xml:space="preserve"> scenario</w:t>
      </w:r>
      <w:r w:rsidR="008C0B30">
        <w:rPr>
          <w:szCs w:val="24"/>
        </w:rPr>
        <w:t xml:space="preserve"> future pension payments</w:t>
      </w:r>
      <w:r w:rsidR="00D02A01">
        <w:rPr>
          <w:szCs w:val="24"/>
        </w:rPr>
        <w:t xml:space="preserve">. </w:t>
      </w:r>
      <w:r>
        <w:rPr>
          <w:szCs w:val="24"/>
        </w:rPr>
        <w:t>The lump sum</w:t>
      </w:r>
      <w:r w:rsidR="00274822">
        <w:rPr>
          <w:szCs w:val="24"/>
        </w:rPr>
        <w:t xml:space="preserve"> would eliminate all </w:t>
      </w:r>
      <w:r w:rsidR="002015EF">
        <w:rPr>
          <w:szCs w:val="24"/>
        </w:rPr>
        <w:t>of the member’s</w:t>
      </w:r>
      <w:r w:rsidR="00274822">
        <w:rPr>
          <w:szCs w:val="24"/>
        </w:rPr>
        <w:t xml:space="preserve"> future pension payments.</w:t>
      </w:r>
    </w:p>
    <w:p w14:paraId="1923B192" w14:textId="77777777" w:rsidR="00C40271" w:rsidRDefault="00C40271">
      <w:pPr>
        <w:rPr>
          <w:szCs w:val="24"/>
        </w:rPr>
      </w:pPr>
    </w:p>
    <w:p w14:paraId="25E9421E" w14:textId="0BB5D506" w:rsidR="00172A05" w:rsidRPr="00482E9F" w:rsidRDefault="001764B1" w:rsidP="00482E9F">
      <w:pPr>
        <w:rPr>
          <w:szCs w:val="24"/>
        </w:rPr>
      </w:pPr>
      <w:r>
        <w:rPr>
          <w:szCs w:val="24"/>
        </w:rPr>
        <w:t>In particular Martin would like to see</w:t>
      </w:r>
      <w:r w:rsidR="00482E9F">
        <w:rPr>
          <w:szCs w:val="24"/>
        </w:rPr>
        <w:t xml:space="preserve"> the effect on the pattern of expected future cashflows and the total present value of the cashflows as well as g</w:t>
      </w:r>
      <w:r w:rsidR="00C40271">
        <w:t>raphs to illu</w:t>
      </w:r>
      <w:r w:rsidR="0077451F">
        <w:t>strate the</w:t>
      </w:r>
      <w:r w:rsidR="00482E9F">
        <w:t>se</w:t>
      </w:r>
      <w:r w:rsidR="00133E2D">
        <w:t>.</w:t>
      </w:r>
    </w:p>
    <w:p w14:paraId="09CBB555" w14:textId="77777777" w:rsidR="0077451F" w:rsidRPr="0077451F" w:rsidRDefault="0077451F" w:rsidP="0077451F">
      <w:pPr>
        <w:pStyle w:val="ListParagraph"/>
      </w:pPr>
    </w:p>
    <w:p w14:paraId="334FF651" w14:textId="77777777" w:rsidR="0062601B" w:rsidRPr="00F1301B" w:rsidRDefault="0062601B">
      <w:pPr>
        <w:rPr>
          <w:rFonts w:eastAsia="Times New Roman" w:cs="Times New Roman"/>
          <w:b/>
          <w:sz w:val="28"/>
          <w:szCs w:val="28"/>
        </w:rPr>
      </w:pPr>
      <w:r w:rsidRPr="00F1301B">
        <w:rPr>
          <w:rFonts w:eastAsia="Times New Roman" w:cs="Times New Roman"/>
          <w:b/>
          <w:sz w:val="28"/>
          <w:szCs w:val="28"/>
        </w:rPr>
        <w:t>Data</w:t>
      </w:r>
    </w:p>
    <w:p w14:paraId="1DA94D1B" w14:textId="77777777" w:rsidR="0062601B" w:rsidRDefault="0062601B">
      <w:pPr>
        <w:rPr>
          <w:rFonts w:eastAsia="Times New Roman" w:cs="Times New Roman"/>
          <w:szCs w:val="24"/>
        </w:rPr>
      </w:pPr>
    </w:p>
    <w:p w14:paraId="25CF4F1C" w14:textId="18FAF15F" w:rsidR="005D4F55" w:rsidRDefault="00D02A01">
      <w:pPr>
        <w:rPr>
          <w:szCs w:val="24"/>
        </w:rPr>
      </w:pPr>
      <w:r>
        <w:rPr>
          <w:szCs w:val="24"/>
        </w:rPr>
        <w:t>Martin has</w:t>
      </w:r>
      <w:r w:rsidR="00C163FF">
        <w:rPr>
          <w:szCs w:val="24"/>
        </w:rPr>
        <w:t xml:space="preserve"> provided </w:t>
      </w:r>
      <w:r>
        <w:rPr>
          <w:szCs w:val="24"/>
        </w:rPr>
        <w:t>summary data</w:t>
      </w:r>
      <w:r w:rsidR="008C0B30">
        <w:rPr>
          <w:szCs w:val="24"/>
        </w:rPr>
        <w:t>,</w:t>
      </w:r>
      <w:r w:rsidR="008C0B30" w:rsidRPr="008C0B30">
        <w:rPr>
          <w:szCs w:val="24"/>
        </w:rPr>
        <w:t xml:space="preserve"> </w:t>
      </w:r>
      <w:r w:rsidR="008C0B30">
        <w:rPr>
          <w:szCs w:val="24"/>
        </w:rPr>
        <w:t>grouped by current age ne</w:t>
      </w:r>
      <w:r w:rsidR="00F06FAA">
        <w:rPr>
          <w:szCs w:val="24"/>
        </w:rPr>
        <w:t>x</w:t>
      </w:r>
      <w:r w:rsidR="008C0B30">
        <w:rPr>
          <w:szCs w:val="24"/>
        </w:rPr>
        <w:t>t</w:t>
      </w:r>
      <w:r w:rsidR="008904AE">
        <w:rPr>
          <w:szCs w:val="24"/>
        </w:rPr>
        <w:t xml:space="preserve"> birthday at 1 January 2020</w:t>
      </w:r>
      <w:r w:rsidR="008C0B30">
        <w:rPr>
          <w:szCs w:val="24"/>
        </w:rPr>
        <w:t>,</w:t>
      </w:r>
      <w:r w:rsidR="000355EF">
        <w:rPr>
          <w:szCs w:val="24"/>
        </w:rPr>
        <w:t xml:space="preserve"> of </w:t>
      </w:r>
      <w:r w:rsidR="008B0F1B">
        <w:rPr>
          <w:szCs w:val="24"/>
        </w:rPr>
        <w:t xml:space="preserve">the </w:t>
      </w:r>
      <w:r>
        <w:rPr>
          <w:szCs w:val="24"/>
        </w:rPr>
        <w:t xml:space="preserve">pension amounts </w:t>
      </w:r>
      <w:r w:rsidR="008B0F1B">
        <w:rPr>
          <w:szCs w:val="24"/>
        </w:rPr>
        <w:t xml:space="preserve">per annum due to begin payment </w:t>
      </w:r>
      <w:r w:rsidR="005D4F55" w:rsidRPr="005D4F55">
        <w:rPr>
          <w:szCs w:val="24"/>
        </w:rPr>
        <w:t xml:space="preserve">at </w:t>
      </w:r>
      <w:r w:rsidR="00F06FAA">
        <w:rPr>
          <w:szCs w:val="24"/>
        </w:rPr>
        <w:t>1 January in the year the individuals turn 65 years old</w:t>
      </w:r>
      <w:r w:rsidR="005D4F55">
        <w:rPr>
          <w:szCs w:val="24"/>
        </w:rPr>
        <w:t xml:space="preserve"> </w:t>
      </w:r>
      <w:r w:rsidR="008B0F1B">
        <w:rPr>
          <w:szCs w:val="24"/>
        </w:rPr>
        <w:t>for</w:t>
      </w:r>
      <w:r>
        <w:rPr>
          <w:szCs w:val="24"/>
        </w:rPr>
        <w:t xml:space="preserve"> the 450 </w:t>
      </w:r>
      <w:r w:rsidR="008C0B30">
        <w:rPr>
          <w:szCs w:val="24"/>
        </w:rPr>
        <w:t>individuals entitled to a pension who are currently under</w:t>
      </w:r>
      <w:r w:rsidR="005D4F55">
        <w:rPr>
          <w:szCs w:val="24"/>
        </w:rPr>
        <w:t xml:space="preserve"> age 65</w:t>
      </w:r>
      <w:r>
        <w:rPr>
          <w:szCs w:val="24"/>
        </w:rPr>
        <w:t>.</w:t>
      </w:r>
      <w:r w:rsidR="00C163FF">
        <w:rPr>
          <w:szCs w:val="24"/>
        </w:rPr>
        <w:t xml:space="preserve"> </w:t>
      </w:r>
    </w:p>
    <w:p w14:paraId="243BC8FE" w14:textId="77777777" w:rsidR="005D4F55" w:rsidRDefault="005D4F55">
      <w:pPr>
        <w:rPr>
          <w:szCs w:val="24"/>
        </w:rPr>
      </w:pPr>
    </w:p>
    <w:p w14:paraId="34BDE827" w14:textId="1D1AB26D" w:rsidR="00A66A2B" w:rsidRDefault="00C163FF" w:rsidP="005D4F55">
      <w:pPr>
        <w:spacing w:line="259" w:lineRule="auto"/>
        <w:rPr>
          <w:szCs w:val="24"/>
        </w:rPr>
      </w:pPr>
      <w:r>
        <w:rPr>
          <w:szCs w:val="24"/>
        </w:rPr>
        <w:t>He has also provided details of:</w:t>
      </w:r>
    </w:p>
    <w:p w14:paraId="4E102E55" w14:textId="7BE5381A" w:rsidR="00C163FF" w:rsidRDefault="00D02A01" w:rsidP="005D4F55">
      <w:pPr>
        <w:pStyle w:val="ListParagraph"/>
        <w:numPr>
          <w:ilvl w:val="0"/>
          <w:numId w:val="34"/>
        </w:numPr>
        <w:spacing w:line="259" w:lineRule="auto"/>
      </w:pPr>
      <w:r>
        <w:t xml:space="preserve">expected take up rates of the </w:t>
      </w:r>
      <w:r w:rsidR="00CD0C30">
        <w:t xml:space="preserve">offers in the two </w:t>
      </w:r>
      <w:r w:rsidR="008F75EB">
        <w:t>proposals</w:t>
      </w:r>
      <w:r w:rsidR="00E337E5">
        <w:t xml:space="preserve"> (40% for the PIE proposal and 30% for the LS proposal)</w:t>
      </w:r>
      <w:r w:rsidR="00CD0C30">
        <w:t>,</w:t>
      </w:r>
    </w:p>
    <w:p w14:paraId="09B3312F" w14:textId="6207790E" w:rsidR="00D02A01" w:rsidRDefault="00D02A01" w:rsidP="005D4F55">
      <w:pPr>
        <w:pStyle w:val="ListParagraph"/>
        <w:numPr>
          <w:ilvl w:val="0"/>
          <w:numId w:val="34"/>
        </w:numPr>
        <w:spacing w:line="259" w:lineRule="auto"/>
      </w:pPr>
      <w:r>
        <w:t xml:space="preserve">expected future </w:t>
      </w:r>
      <w:r w:rsidR="005D4F55">
        <w:t xml:space="preserve">life expectancies from </w:t>
      </w:r>
      <w:r w:rsidR="00F06FAA">
        <w:t xml:space="preserve">the 1 January of the year the turn </w:t>
      </w:r>
      <w:r w:rsidR="001660EA">
        <w:t>65</w:t>
      </w:r>
      <w:r w:rsidR="00F06FAA">
        <w:t xml:space="preserve"> years old</w:t>
      </w:r>
      <w:r w:rsidR="001660EA">
        <w:t xml:space="preserve"> </w:t>
      </w:r>
      <w:r w:rsidR="00A66A2B">
        <w:t>for each age group</w:t>
      </w:r>
      <w:r w:rsidR="00CD0C30">
        <w:t>,</w:t>
      </w:r>
    </w:p>
    <w:p w14:paraId="2EA8083D" w14:textId="69C960F4" w:rsidR="008C0B30" w:rsidRDefault="008C0B30" w:rsidP="005D4F55">
      <w:pPr>
        <w:pStyle w:val="ListParagraph"/>
        <w:numPr>
          <w:ilvl w:val="0"/>
          <w:numId w:val="34"/>
        </w:numPr>
        <w:spacing w:line="259" w:lineRule="auto"/>
      </w:pPr>
      <w:r>
        <w:t>pension payment</w:t>
      </w:r>
      <w:r w:rsidR="00D02A01">
        <w:t xml:space="preserve"> details including</w:t>
      </w:r>
      <w:r>
        <w:t>;</w:t>
      </w:r>
      <w:r w:rsidR="00D02A01">
        <w:t xml:space="preserve"> pension increases </w:t>
      </w:r>
      <w:r w:rsidR="00A66A2B">
        <w:t xml:space="preserve">and </w:t>
      </w:r>
      <w:r w:rsidR="00CD0C30">
        <w:t xml:space="preserve">the </w:t>
      </w:r>
      <w:r w:rsidR="00F06FAA">
        <w:t>date from which</w:t>
      </w:r>
      <w:r w:rsidR="00CD0C30">
        <w:t xml:space="preserve"> </w:t>
      </w:r>
      <w:r>
        <w:t>pension payments start.</w:t>
      </w:r>
    </w:p>
    <w:p w14:paraId="54BBB210" w14:textId="5F9247B0" w:rsidR="00A66A2B" w:rsidRDefault="002015EF" w:rsidP="005D4F55">
      <w:pPr>
        <w:pStyle w:val="ListParagraph"/>
        <w:numPr>
          <w:ilvl w:val="0"/>
          <w:numId w:val="34"/>
        </w:numPr>
        <w:spacing w:line="259" w:lineRule="auto"/>
      </w:pPr>
      <w:r>
        <w:t>the</w:t>
      </w:r>
      <w:r w:rsidR="00A66A2B">
        <w:t xml:space="preserve"> enhancement percentage to apply to the transfer values offered in the </w:t>
      </w:r>
      <w:r w:rsidR="008F75EB">
        <w:t>LS</w:t>
      </w:r>
      <w:r w:rsidR="00A66A2B">
        <w:t xml:space="preserve"> pro</w:t>
      </w:r>
      <w:r w:rsidR="008F75EB">
        <w:t>posal</w:t>
      </w:r>
    </w:p>
    <w:p w14:paraId="5202D8AB" w14:textId="77777777" w:rsidR="00C163FF" w:rsidRDefault="00C163FF" w:rsidP="00C163FF"/>
    <w:p w14:paraId="523EEAEB" w14:textId="2D238EA2" w:rsidR="00C163FF" w:rsidRDefault="00B073A4" w:rsidP="00C163FF">
      <w:r>
        <w:t xml:space="preserve">Sun Actuarial’s statistics department has provided information on the expected future inflation and expected </w:t>
      </w:r>
      <w:r w:rsidR="00A66A2B">
        <w:t xml:space="preserve">discount rate for </w:t>
      </w:r>
      <w:r>
        <w:t>cashflows</w:t>
      </w:r>
      <w:r w:rsidR="008C0B30">
        <w:t>.</w:t>
      </w:r>
    </w:p>
    <w:p w14:paraId="4423BBE0" w14:textId="77777777" w:rsidR="00C163FF" w:rsidRPr="00C163FF" w:rsidRDefault="00C163FF" w:rsidP="00C163FF"/>
    <w:p w14:paraId="49B1A29E" w14:textId="76584222" w:rsidR="0023307A" w:rsidRDefault="00EB72BC" w:rsidP="00BD76CB">
      <w:r>
        <w:t>The data looks reasonable</w:t>
      </w:r>
      <w:r w:rsidR="00995462">
        <w:t xml:space="preserve"> in so far as:</w:t>
      </w:r>
    </w:p>
    <w:p w14:paraId="0FC960A6" w14:textId="77777777" w:rsidR="00BD76CB" w:rsidRDefault="00BD76CB" w:rsidP="00BD76CB"/>
    <w:p w14:paraId="7889C376" w14:textId="7AF70F75" w:rsidR="00C0511D" w:rsidRDefault="008B0F1B" w:rsidP="008246BC">
      <w:pPr>
        <w:pStyle w:val="ListParagraph"/>
        <w:numPr>
          <w:ilvl w:val="0"/>
          <w:numId w:val="4"/>
        </w:numPr>
        <w:ind w:left="357" w:hanging="357"/>
      </w:pPr>
      <w:r>
        <w:t>T</w:t>
      </w:r>
      <w:r w:rsidR="00C0511D">
        <w:t>he</w:t>
      </w:r>
      <w:r w:rsidR="00B073A4">
        <w:t xml:space="preserve"> average pension per </w:t>
      </w:r>
      <w:r w:rsidR="008C0B30">
        <w:t>individual</w:t>
      </w:r>
      <w:r w:rsidR="00B073A4">
        <w:t xml:space="preserve"> appears roug</w:t>
      </w:r>
      <w:r w:rsidR="00F06FAA">
        <w:t>hly consistent across age nex</w:t>
      </w:r>
      <w:r w:rsidR="00B073A4">
        <w:t xml:space="preserve">t groups </w:t>
      </w:r>
      <w:r w:rsidR="00F06FAA">
        <w:t>and increases with age (which could be justified</w:t>
      </w:r>
      <w:r w:rsidR="00B073A4">
        <w:t xml:space="preserve"> as older members </w:t>
      </w:r>
      <w:r w:rsidR="00F06FAA">
        <w:t>may</w:t>
      </w:r>
      <w:r w:rsidR="00B073A4">
        <w:t xml:space="preserve"> have had higher salaries and longer service).</w:t>
      </w:r>
    </w:p>
    <w:p w14:paraId="38472BB8" w14:textId="6E0A841A" w:rsidR="000355EF" w:rsidRDefault="008B0F1B" w:rsidP="00885553">
      <w:pPr>
        <w:pStyle w:val="ListParagraph"/>
        <w:numPr>
          <w:ilvl w:val="0"/>
          <w:numId w:val="4"/>
        </w:numPr>
        <w:ind w:left="357" w:hanging="357"/>
      </w:pPr>
      <w:r>
        <w:t>T</w:t>
      </w:r>
      <w:r w:rsidR="0023307A">
        <w:t xml:space="preserve">he </w:t>
      </w:r>
      <w:r w:rsidR="008C0B30">
        <w:t>number of individuals</w:t>
      </w:r>
      <w:r w:rsidR="00F06FAA">
        <w:t xml:space="preserve"> per age nex</w:t>
      </w:r>
      <w:r w:rsidR="00B073A4">
        <w:t xml:space="preserve">t </w:t>
      </w:r>
      <w:r w:rsidR="008904AE">
        <w:t xml:space="preserve">birthday </w:t>
      </w:r>
      <w:r w:rsidR="00B073A4">
        <w:t xml:space="preserve">group varies </w:t>
      </w:r>
      <w:r w:rsidR="0051746F">
        <w:t xml:space="preserve">and shows no </w:t>
      </w:r>
      <w:r w:rsidR="00B073A4">
        <w:t>particular pattern but nothing suggest</w:t>
      </w:r>
      <w:r w:rsidR="008C0B30">
        <w:t>s</w:t>
      </w:r>
      <w:r w:rsidR="00B073A4">
        <w:t xml:space="preserve"> </w:t>
      </w:r>
      <w:r w:rsidR="002015EF">
        <w:t xml:space="preserve">the numbers are </w:t>
      </w:r>
      <w:r w:rsidR="00B073A4">
        <w:t>unreasonable.</w:t>
      </w:r>
    </w:p>
    <w:p w14:paraId="574B4AB2" w14:textId="4BC35C5D" w:rsidR="000355EF" w:rsidRDefault="00B073A4" w:rsidP="00885553">
      <w:pPr>
        <w:pStyle w:val="ListParagraph"/>
        <w:numPr>
          <w:ilvl w:val="0"/>
          <w:numId w:val="4"/>
        </w:numPr>
        <w:ind w:left="357" w:hanging="357"/>
      </w:pPr>
      <w:r>
        <w:lastRenderedPageBreak/>
        <w:t xml:space="preserve">There is no reason to doubt the </w:t>
      </w:r>
      <w:r w:rsidR="008F75EB">
        <w:t>proposal</w:t>
      </w:r>
      <w:r>
        <w:t xml:space="preserve"> take up rates suggested by Martin</w:t>
      </w:r>
      <w:r w:rsidR="0051746F">
        <w:t xml:space="preserve"> which are between 0 and 1 and appear reasonable</w:t>
      </w:r>
      <w:r>
        <w:t>.</w:t>
      </w:r>
    </w:p>
    <w:p w14:paraId="4DB605E3" w14:textId="06F783DF" w:rsidR="001660EA" w:rsidRDefault="008C0B30" w:rsidP="00885553">
      <w:pPr>
        <w:pStyle w:val="ListParagraph"/>
        <w:numPr>
          <w:ilvl w:val="0"/>
          <w:numId w:val="4"/>
        </w:numPr>
        <w:ind w:left="357" w:hanging="357"/>
      </w:pPr>
      <w:r>
        <w:t>The</w:t>
      </w:r>
      <w:r w:rsidR="00F06FAA">
        <w:t xml:space="preserve"> expected lifetimes </w:t>
      </w:r>
      <w:r w:rsidR="0013677D">
        <w:t xml:space="preserve">increase </w:t>
      </w:r>
      <w:r>
        <w:t>as</w:t>
      </w:r>
      <w:r w:rsidR="001660EA">
        <w:t xml:space="preserve"> age ne</w:t>
      </w:r>
      <w:r w:rsidR="00F06FAA">
        <w:t>x</w:t>
      </w:r>
      <w:r w:rsidR="001660EA">
        <w:t>t</w:t>
      </w:r>
      <w:r>
        <w:t xml:space="preserve"> </w:t>
      </w:r>
      <w:r w:rsidR="008904AE">
        <w:t xml:space="preserve">birthday </w:t>
      </w:r>
      <w:r>
        <w:t>decreases</w:t>
      </w:r>
      <w:r w:rsidR="001660EA">
        <w:t>. This seems reasonable as other general studies have found that life expectancies are increasing</w:t>
      </w:r>
      <w:r>
        <w:t xml:space="preserve"> over time</w:t>
      </w:r>
      <w:r w:rsidR="001660EA">
        <w:t>.</w:t>
      </w:r>
    </w:p>
    <w:p w14:paraId="6B404C81" w14:textId="77777777" w:rsidR="00995462" w:rsidRDefault="00995462" w:rsidP="00885553"/>
    <w:p w14:paraId="21F302B8" w14:textId="77777777" w:rsidR="0062601B" w:rsidRPr="00F1301B" w:rsidRDefault="0062601B">
      <w:pPr>
        <w:rPr>
          <w:rFonts w:eastAsia="Times New Roman" w:cs="Times New Roman"/>
          <w:b/>
          <w:sz w:val="28"/>
          <w:szCs w:val="28"/>
        </w:rPr>
      </w:pPr>
      <w:r w:rsidRPr="00F1301B">
        <w:rPr>
          <w:rFonts w:eastAsia="Times New Roman" w:cs="Times New Roman"/>
          <w:b/>
          <w:sz w:val="28"/>
          <w:szCs w:val="28"/>
        </w:rPr>
        <w:t>Assumptions</w:t>
      </w:r>
    </w:p>
    <w:p w14:paraId="02BC2437" w14:textId="77777777" w:rsidR="0062601B" w:rsidRPr="00F1301B" w:rsidRDefault="0062601B">
      <w:pPr>
        <w:pStyle w:val="ListParagraph"/>
      </w:pPr>
    </w:p>
    <w:p w14:paraId="0852BF26" w14:textId="77777777" w:rsidR="004575EA" w:rsidRDefault="00B073A4" w:rsidP="00B073A4">
      <w:pPr>
        <w:pStyle w:val="ListParagraph"/>
        <w:numPr>
          <w:ilvl w:val="0"/>
          <w:numId w:val="4"/>
        </w:numPr>
        <w:ind w:left="360"/>
      </w:pPr>
      <w:r w:rsidRPr="00A031DA">
        <w:t>The data</w:t>
      </w:r>
      <w:r>
        <w:t xml:space="preserve"> provided by Martin and the Sun Actuarial</w:t>
      </w:r>
      <w:r w:rsidR="00BD76CB">
        <w:t xml:space="preserve"> statistics department</w:t>
      </w:r>
      <w:r w:rsidRPr="00A031DA">
        <w:t xml:space="preserve"> is </w:t>
      </w:r>
      <w:r>
        <w:t>accurate</w:t>
      </w:r>
    </w:p>
    <w:p w14:paraId="4CBC63F5" w14:textId="77777777" w:rsidR="004575EA" w:rsidRDefault="004575EA" w:rsidP="004575EA">
      <w:pPr>
        <w:pStyle w:val="ListParagraph"/>
        <w:ind w:left="360"/>
      </w:pPr>
    </w:p>
    <w:p w14:paraId="2B092474" w14:textId="61F0EFBE" w:rsidR="00B073A4" w:rsidRDefault="004575EA" w:rsidP="00B073A4">
      <w:pPr>
        <w:pStyle w:val="ListParagraph"/>
        <w:numPr>
          <w:ilvl w:val="0"/>
          <w:numId w:val="4"/>
        </w:numPr>
        <w:ind w:left="360"/>
      </w:pPr>
      <w:r>
        <w:t>The take up rate of</w:t>
      </w:r>
      <w:r w:rsidR="008B0F1B">
        <w:t xml:space="preserve"> both</w:t>
      </w:r>
      <w:r>
        <w:t xml:space="preserve"> the </w:t>
      </w:r>
      <w:r w:rsidR="008B0F1B">
        <w:t>proposals</w:t>
      </w:r>
      <w:r>
        <w:t xml:space="preserve"> </w:t>
      </w:r>
      <w:r w:rsidR="008B0F1B">
        <w:t>would be</w:t>
      </w:r>
      <w:r>
        <w:t xml:space="preserve"> as </w:t>
      </w:r>
      <w:r w:rsidR="008B0F1B">
        <w:t>Martin estimated</w:t>
      </w:r>
      <w:r w:rsidR="00B073A4" w:rsidRPr="00A031DA">
        <w:t>.</w:t>
      </w:r>
    </w:p>
    <w:p w14:paraId="18C845B8" w14:textId="77777777" w:rsidR="00B073A4" w:rsidRPr="00A031DA" w:rsidRDefault="00B073A4" w:rsidP="00B073A4">
      <w:pPr>
        <w:pStyle w:val="ListParagraph"/>
        <w:ind w:left="360"/>
      </w:pPr>
    </w:p>
    <w:p w14:paraId="56275392" w14:textId="77777777" w:rsidR="00B073A4" w:rsidRDefault="00B073A4" w:rsidP="00B073A4">
      <w:pPr>
        <w:pStyle w:val="ListParagraph"/>
        <w:numPr>
          <w:ilvl w:val="0"/>
          <w:numId w:val="4"/>
        </w:numPr>
        <w:ind w:left="360"/>
      </w:pPr>
      <w:r w:rsidRPr="00A031DA">
        <w:t xml:space="preserve">Inflation </w:t>
      </w:r>
      <w:r>
        <w:t>is</w:t>
      </w:r>
      <w:r w:rsidRPr="00A031DA">
        <w:t xml:space="preserve"> assumed to remain constant </w:t>
      </w:r>
      <w:r>
        <w:t>each year until all members are expected to have died.</w:t>
      </w:r>
    </w:p>
    <w:p w14:paraId="683E5CCA" w14:textId="77777777" w:rsidR="00CD0C30" w:rsidRDefault="00CD0C30" w:rsidP="00CD0C30">
      <w:pPr>
        <w:pStyle w:val="ListParagraph"/>
      </w:pPr>
    </w:p>
    <w:p w14:paraId="426A8632" w14:textId="77DFCB12" w:rsidR="00B073A4" w:rsidRDefault="008C0B30" w:rsidP="00B073A4">
      <w:pPr>
        <w:pStyle w:val="ListParagraph"/>
        <w:numPr>
          <w:ilvl w:val="0"/>
          <w:numId w:val="4"/>
        </w:numPr>
        <w:ind w:left="360"/>
      </w:pPr>
      <w:r>
        <w:t>No individuals</w:t>
      </w:r>
      <w:r w:rsidR="00B073A4">
        <w:t xml:space="preserve"> die before reaching </w:t>
      </w:r>
      <w:r w:rsidR="00F06FAA">
        <w:t>retirement</w:t>
      </w:r>
      <w:r w:rsidR="00B073A4">
        <w:t xml:space="preserve"> and therefore no mortality assumption before retirement is required.</w:t>
      </w:r>
    </w:p>
    <w:p w14:paraId="0BAAF2AD" w14:textId="77777777" w:rsidR="00B073A4" w:rsidRPr="00B76139" w:rsidRDefault="00B073A4" w:rsidP="00B073A4">
      <w:pPr>
        <w:pStyle w:val="ListParagraph"/>
        <w:rPr>
          <w:b/>
        </w:rPr>
      </w:pPr>
    </w:p>
    <w:p w14:paraId="650D57DC" w14:textId="03225A74" w:rsidR="00B76139" w:rsidRPr="00B76139" w:rsidRDefault="00B76139" w:rsidP="00B76139">
      <w:pPr>
        <w:pStyle w:val="ListParagraph"/>
        <w:numPr>
          <w:ilvl w:val="0"/>
          <w:numId w:val="4"/>
        </w:numPr>
        <w:ind w:left="360"/>
        <w:rPr>
          <w:b/>
        </w:rPr>
      </w:pPr>
      <w:r w:rsidRPr="00B76139">
        <w:rPr>
          <w:b/>
        </w:rPr>
        <w:t>There are no increases to pensions prior to retirement other than those already allowed for in the pensi</w:t>
      </w:r>
      <w:r w:rsidR="00F06FAA">
        <w:rPr>
          <w:b/>
        </w:rPr>
        <w:t>on summaries at retirement</w:t>
      </w:r>
    </w:p>
    <w:p w14:paraId="1F5348DF" w14:textId="77777777" w:rsidR="00B073A4" w:rsidRPr="00545F9A" w:rsidRDefault="00B073A4" w:rsidP="00545F9A">
      <w:pPr>
        <w:rPr>
          <w:b/>
        </w:rPr>
      </w:pPr>
    </w:p>
    <w:p w14:paraId="591F4D4E" w14:textId="0F7ED4AC" w:rsidR="00B073A4" w:rsidRPr="00821B11" w:rsidRDefault="00B073A4" w:rsidP="00B073A4">
      <w:pPr>
        <w:pStyle w:val="ListParagraph"/>
        <w:numPr>
          <w:ilvl w:val="0"/>
          <w:numId w:val="4"/>
        </w:numPr>
        <w:ind w:left="360"/>
        <w:rPr>
          <w:b/>
        </w:rPr>
      </w:pPr>
      <w:r w:rsidRPr="00821B11">
        <w:rPr>
          <w:b/>
        </w:rPr>
        <w:t xml:space="preserve">There is </w:t>
      </w:r>
      <w:r w:rsidR="00BD76CB" w:rsidRPr="00821B11">
        <w:rPr>
          <w:b/>
        </w:rPr>
        <w:t xml:space="preserve">currently no option for </w:t>
      </w:r>
      <w:r w:rsidR="008C0B30">
        <w:rPr>
          <w:b/>
        </w:rPr>
        <w:t>individuals</w:t>
      </w:r>
      <w:r w:rsidRPr="00821B11">
        <w:rPr>
          <w:b/>
        </w:rPr>
        <w:t xml:space="preserve"> </w:t>
      </w:r>
      <w:r w:rsidR="00BD76CB" w:rsidRPr="00821B11">
        <w:rPr>
          <w:b/>
        </w:rPr>
        <w:t xml:space="preserve">to </w:t>
      </w:r>
      <w:r w:rsidRPr="00821B11">
        <w:rPr>
          <w:b/>
        </w:rPr>
        <w:t>take any of the pension as a cash lump sum at retirement</w:t>
      </w:r>
      <w:r w:rsidR="00BD76CB" w:rsidRPr="00821B11">
        <w:rPr>
          <w:b/>
        </w:rPr>
        <w:t xml:space="preserve"> or exchange their benefits in any other way (other than the two </w:t>
      </w:r>
      <w:r w:rsidR="008B0F1B">
        <w:rPr>
          <w:b/>
        </w:rPr>
        <w:t xml:space="preserve">proposals </w:t>
      </w:r>
      <w:r w:rsidR="00BD76CB" w:rsidRPr="00821B11">
        <w:rPr>
          <w:b/>
        </w:rPr>
        <w:t>under consideration).</w:t>
      </w:r>
    </w:p>
    <w:p w14:paraId="20E58F51" w14:textId="77777777" w:rsidR="00B073A4" w:rsidRPr="00821B11" w:rsidRDefault="00B073A4" w:rsidP="00B073A4">
      <w:pPr>
        <w:pStyle w:val="ListParagraph"/>
        <w:rPr>
          <w:b/>
        </w:rPr>
      </w:pPr>
    </w:p>
    <w:p w14:paraId="21B7D212" w14:textId="7805FB3A" w:rsidR="00B073A4" w:rsidRPr="00821B11" w:rsidRDefault="00B073A4" w:rsidP="00B073A4">
      <w:pPr>
        <w:pStyle w:val="ListParagraph"/>
        <w:numPr>
          <w:ilvl w:val="0"/>
          <w:numId w:val="4"/>
        </w:numPr>
        <w:ind w:left="360"/>
        <w:rPr>
          <w:b/>
        </w:rPr>
      </w:pPr>
      <w:r w:rsidRPr="00821B11">
        <w:rPr>
          <w:b/>
        </w:rPr>
        <w:t xml:space="preserve">All </w:t>
      </w:r>
      <w:r w:rsidR="007341F0">
        <w:rPr>
          <w:b/>
        </w:rPr>
        <w:t>individuals</w:t>
      </w:r>
      <w:r w:rsidRPr="00821B11">
        <w:rPr>
          <w:b/>
        </w:rPr>
        <w:t xml:space="preserve"> retire </w:t>
      </w:r>
      <w:r w:rsidR="00133E2D">
        <w:rPr>
          <w:b/>
        </w:rPr>
        <w:t>on</w:t>
      </w:r>
      <w:r w:rsidRPr="00821B11">
        <w:rPr>
          <w:b/>
        </w:rPr>
        <w:t xml:space="preserve"> </w:t>
      </w:r>
      <w:r w:rsidR="00F06FAA">
        <w:rPr>
          <w:b/>
        </w:rPr>
        <w:t xml:space="preserve">1 January in the year in which they turn </w:t>
      </w:r>
      <w:r w:rsidRPr="00821B11">
        <w:rPr>
          <w:b/>
        </w:rPr>
        <w:t xml:space="preserve">65 </w:t>
      </w:r>
      <w:r w:rsidR="00F06FAA">
        <w:rPr>
          <w:b/>
        </w:rPr>
        <w:t xml:space="preserve">years old </w:t>
      </w:r>
      <w:r w:rsidRPr="00821B11">
        <w:rPr>
          <w:b/>
        </w:rPr>
        <w:t>and early or late retirement for any reason is not possible.</w:t>
      </w:r>
    </w:p>
    <w:p w14:paraId="2402C67F" w14:textId="77777777" w:rsidR="00B073A4" w:rsidRPr="00821B11" w:rsidRDefault="00B073A4" w:rsidP="00B073A4">
      <w:pPr>
        <w:pStyle w:val="ListParagraph"/>
        <w:rPr>
          <w:b/>
        </w:rPr>
      </w:pPr>
    </w:p>
    <w:p w14:paraId="1985B454" w14:textId="4DE5B80C" w:rsidR="00B073A4" w:rsidRPr="00821B11" w:rsidRDefault="00B073A4" w:rsidP="00B073A4">
      <w:pPr>
        <w:pStyle w:val="ListParagraph"/>
        <w:numPr>
          <w:ilvl w:val="0"/>
          <w:numId w:val="4"/>
        </w:numPr>
        <w:ind w:left="360"/>
        <w:rPr>
          <w:b/>
        </w:rPr>
      </w:pPr>
      <w:r w:rsidRPr="00821B11">
        <w:rPr>
          <w:b/>
        </w:rPr>
        <w:t>No pens</w:t>
      </w:r>
      <w:r w:rsidR="007341F0">
        <w:rPr>
          <w:b/>
        </w:rPr>
        <w:t>ion is payable after death to an individual’s dependa</w:t>
      </w:r>
      <w:r w:rsidRPr="00821B11">
        <w:rPr>
          <w:b/>
        </w:rPr>
        <w:t>nts or spouse</w:t>
      </w:r>
    </w:p>
    <w:p w14:paraId="0D05EA1C" w14:textId="77777777" w:rsidR="00B073A4" w:rsidRDefault="00B073A4" w:rsidP="00B073A4">
      <w:pPr>
        <w:pStyle w:val="ListParagraph"/>
      </w:pPr>
    </w:p>
    <w:p w14:paraId="1E1454CC" w14:textId="46F42498" w:rsidR="00B073A4" w:rsidRPr="00A06F77" w:rsidRDefault="00A06F77" w:rsidP="00B073A4">
      <w:pPr>
        <w:pStyle w:val="ListParagraph"/>
        <w:numPr>
          <w:ilvl w:val="0"/>
          <w:numId w:val="4"/>
        </w:numPr>
        <w:ind w:left="360"/>
      </w:pPr>
      <w:r>
        <w:rPr>
          <w:b/>
        </w:rPr>
        <w:t xml:space="preserve">There are no regulations that restrict Automake from undertaking either </w:t>
      </w:r>
      <w:r w:rsidR="008F75EB">
        <w:rPr>
          <w:b/>
        </w:rPr>
        <w:t>proposal</w:t>
      </w:r>
    </w:p>
    <w:p w14:paraId="04CA7C99" w14:textId="77777777" w:rsidR="00A06F77" w:rsidRDefault="00A06F77" w:rsidP="00A06F77">
      <w:pPr>
        <w:pStyle w:val="ListParagraph"/>
      </w:pPr>
    </w:p>
    <w:p w14:paraId="03D551BD" w14:textId="1E3730F2" w:rsidR="00A06F77" w:rsidRPr="00A06F77" w:rsidRDefault="00A06F77" w:rsidP="00B073A4">
      <w:pPr>
        <w:pStyle w:val="ListParagraph"/>
        <w:numPr>
          <w:ilvl w:val="0"/>
          <w:numId w:val="4"/>
        </w:numPr>
        <w:ind w:left="360"/>
      </w:pPr>
      <w:r>
        <w:rPr>
          <w:b/>
        </w:rPr>
        <w:t xml:space="preserve">Automake have sufficient liquid funds to pay </w:t>
      </w:r>
      <w:r w:rsidR="008B0F1B">
        <w:rPr>
          <w:b/>
        </w:rPr>
        <w:t xml:space="preserve">the expected </w:t>
      </w:r>
      <w:r w:rsidR="007341F0">
        <w:rPr>
          <w:b/>
        </w:rPr>
        <w:t>lump sums under the LS p</w:t>
      </w:r>
      <w:r w:rsidR="008B0F1B">
        <w:rPr>
          <w:b/>
        </w:rPr>
        <w:t xml:space="preserve">roposal </w:t>
      </w:r>
      <w:r>
        <w:rPr>
          <w:b/>
        </w:rPr>
        <w:t>based on Martin’s predicted take up rate at 1 January 2020</w:t>
      </w:r>
    </w:p>
    <w:p w14:paraId="7BB71372" w14:textId="77777777" w:rsidR="00A06F77" w:rsidRPr="00A06F77" w:rsidRDefault="00A06F77" w:rsidP="00A06F77">
      <w:pPr>
        <w:pStyle w:val="ListParagraph"/>
        <w:rPr>
          <w:b/>
        </w:rPr>
      </w:pPr>
    </w:p>
    <w:p w14:paraId="11876A27" w14:textId="4AF6BC17" w:rsidR="00A06F77" w:rsidRDefault="00A06F77" w:rsidP="00B073A4">
      <w:pPr>
        <w:pStyle w:val="ListParagraph"/>
        <w:numPr>
          <w:ilvl w:val="0"/>
          <w:numId w:val="4"/>
        </w:numPr>
        <w:ind w:left="360"/>
      </w:pPr>
      <w:r>
        <w:rPr>
          <w:b/>
        </w:rPr>
        <w:t xml:space="preserve">No consideration of the impact on Automake’s </w:t>
      </w:r>
      <w:r w:rsidR="008B0F1B">
        <w:rPr>
          <w:b/>
        </w:rPr>
        <w:t xml:space="preserve">company </w:t>
      </w:r>
      <w:r>
        <w:rPr>
          <w:b/>
        </w:rPr>
        <w:t xml:space="preserve">accounting </w:t>
      </w:r>
      <w:r w:rsidR="008B0F1B">
        <w:rPr>
          <w:b/>
        </w:rPr>
        <w:t>figures</w:t>
      </w:r>
      <w:r>
        <w:rPr>
          <w:b/>
        </w:rPr>
        <w:t xml:space="preserve"> is considered </w:t>
      </w:r>
    </w:p>
    <w:p w14:paraId="69488643" w14:textId="77777777" w:rsidR="00C0511D" w:rsidRDefault="00C0511D" w:rsidP="008246BC">
      <w:pPr>
        <w:pStyle w:val="ListParagraph"/>
      </w:pPr>
    </w:p>
    <w:p w14:paraId="07350B3C" w14:textId="77777777" w:rsidR="002015EF" w:rsidRDefault="002015EF">
      <w:pPr>
        <w:rPr>
          <w:rFonts w:eastAsia="Times New Roman" w:cs="Times New Roman"/>
          <w:b/>
          <w:sz w:val="28"/>
          <w:szCs w:val="28"/>
        </w:rPr>
      </w:pPr>
    </w:p>
    <w:p w14:paraId="24BF64A1" w14:textId="77777777" w:rsidR="00637504" w:rsidRDefault="00637504">
      <w:pPr>
        <w:rPr>
          <w:rFonts w:eastAsia="Times New Roman" w:cs="Times New Roman"/>
          <w:b/>
          <w:sz w:val="28"/>
          <w:szCs w:val="28"/>
        </w:rPr>
      </w:pPr>
    </w:p>
    <w:p w14:paraId="5D842F01" w14:textId="77777777" w:rsidR="00637504" w:rsidRDefault="00637504">
      <w:pPr>
        <w:rPr>
          <w:rFonts w:eastAsia="Times New Roman" w:cs="Times New Roman"/>
          <w:b/>
          <w:sz w:val="28"/>
          <w:szCs w:val="28"/>
        </w:rPr>
      </w:pPr>
    </w:p>
    <w:p w14:paraId="330C343F" w14:textId="77777777" w:rsidR="00637504" w:rsidRDefault="00637504">
      <w:pPr>
        <w:rPr>
          <w:rFonts w:eastAsia="Times New Roman" w:cs="Times New Roman"/>
          <w:b/>
          <w:sz w:val="28"/>
          <w:szCs w:val="28"/>
        </w:rPr>
      </w:pPr>
    </w:p>
    <w:p w14:paraId="32A9B581" w14:textId="77777777" w:rsidR="00545F9A" w:rsidRDefault="00545F9A">
      <w:pPr>
        <w:rPr>
          <w:rFonts w:eastAsia="Times New Roman" w:cs="Times New Roman"/>
          <w:b/>
          <w:sz w:val="28"/>
          <w:szCs w:val="28"/>
        </w:rPr>
      </w:pPr>
    </w:p>
    <w:p w14:paraId="33A4F3B7" w14:textId="77777777" w:rsidR="00545F9A" w:rsidRDefault="00545F9A">
      <w:pPr>
        <w:rPr>
          <w:rFonts w:eastAsia="Times New Roman" w:cs="Times New Roman"/>
          <w:b/>
          <w:sz w:val="28"/>
          <w:szCs w:val="28"/>
        </w:rPr>
      </w:pPr>
    </w:p>
    <w:p w14:paraId="763D2A87" w14:textId="77777777" w:rsidR="00637504" w:rsidRDefault="00637504">
      <w:pPr>
        <w:rPr>
          <w:rFonts w:eastAsia="Times New Roman" w:cs="Times New Roman"/>
          <w:b/>
          <w:sz w:val="28"/>
          <w:szCs w:val="28"/>
        </w:rPr>
      </w:pPr>
    </w:p>
    <w:p w14:paraId="23956E7D" w14:textId="77777777" w:rsidR="00637504" w:rsidRDefault="00637504">
      <w:pPr>
        <w:rPr>
          <w:rFonts w:eastAsia="Times New Roman" w:cs="Times New Roman"/>
          <w:b/>
          <w:sz w:val="28"/>
          <w:szCs w:val="28"/>
        </w:rPr>
      </w:pPr>
    </w:p>
    <w:p w14:paraId="36BC6509" w14:textId="77777777" w:rsidR="00637504" w:rsidRDefault="00637504">
      <w:pPr>
        <w:rPr>
          <w:rFonts w:eastAsia="Times New Roman" w:cs="Times New Roman"/>
          <w:b/>
          <w:sz w:val="28"/>
          <w:szCs w:val="28"/>
        </w:rPr>
      </w:pPr>
    </w:p>
    <w:p w14:paraId="747CE9E0" w14:textId="77777777" w:rsidR="00637504" w:rsidRDefault="00637504">
      <w:pPr>
        <w:rPr>
          <w:rFonts w:eastAsia="Times New Roman" w:cs="Times New Roman"/>
          <w:b/>
          <w:sz w:val="28"/>
          <w:szCs w:val="28"/>
        </w:rPr>
      </w:pPr>
    </w:p>
    <w:p w14:paraId="77252DE2" w14:textId="77777777" w:rsidR="00637504" w:rsidRDefault="00637504">
      <w:pPr>
        <w:rPr>
          <w:rFonts w:eastAsia="Times New Roman" w:cs="Times New Roman"/>
          <w:b/>
          <w:sz w:val="28"/>
          <w:szCs w:val="28"/>
        </w:rPr>
      </w:pPr>
    </w:p>
    <w:p w14:paraId="2E774DDE" w14:textId="3B693D53" w:rsidR="0062601B" w:rsidRPr="00CE4F18" w:rsidRDefault="0062601B">
      <w:pPr>
        <w:rPr>
          <w:rFonts w:eastAsia="Times New Roman" w:cs="Times New Roman"/>
          <w:b/>
          <w:sz w:val="28"/>
          <w:szCs w:val="28"/>
        </w:rPr>
      </w:pPr>
      <w:r w:rsidRPr="00CE4F18">
        <w:rPr>
          <w:rFonts w:eastAsia="Times New Roman" w:cs="Times New Roman"/>
          <w:b/>
          <w:sz w:val="28"/>
          <w:szCs w:val="28"/>
        </w:rPr>
        <w:lastRenderedPageBreak/>
        <w:t>Method</w:t>
      </w:r>
    </w:p>
    <w:p w14:paraId="31099E63" w14:textId="77777777" w:rsidR="008B0F1B" w:rsidRDefault="008B0F1B" w:rsidP="008B0F1B">
      <w:pPr>
        <w:rPr>
          <w:b/>
          <w:szCs w:val="24"/>
        </w:rPr>
      </w:pPr>
    </w:p>
    <w:p w14:paraId="2F129B37" w14:textId="77777777" w:rsidR="008B0F1B" w:rsidRPr="001F3CC8" w:rsidRDefault="008B0F1B" w:rsidP="008B0F1B">
      <w:pPr>
        <w:rPr>
          <w:b/>
          <w:szCs w:val="24"/>
        </w:rPr>
      </w:pPr>
      <w:r>
        <w:rPr>
          <w:b/>
          <w:szCs w:val="24"/>
        </w:rPr>
        <w:t>Cashflow Projection</w:t>
      </w:r>
    </w:p>
    <w:p w14:paraId="77D96A6A" w14:textId="77777777" w:rsidR="008B0F1B" w:rsidRDefault="008B0F1B" w:rsidP="008B0F1B">
      <w:pPr>
        <w:rPr>
          <w:szCs w:val="24"/>
          <w:u w:val="single"/>
        </w:rPr>
      </w:pPr>
    </w:p>
    <w:p w14:paraId="6AD451C0" w14:textId="77777777" w:rsidR="008B0F1B" w:rsidRDefault="008B0F1B" w:rsidP="008B0F1B">
      <w:pPr>
        <w:rPr>
          <w:szCs w:val="24"/>
          <w:u w:val="single"/>
        </w:rPr>
      </w:pPr>
      <w:r w:rsidRPr="00CD0C30">
        <w:rPr>
          <w:szCs w:val="24"/>
          <w:u w:val="single"/>
        </w:rPr>
        <w:t>Existing</w:t>
      </w:r>
    </w:p>
    <w:p w14:paraId="465D80F1" w14:textId="77777777" w:rsidR="007341F0" w:rsidRPr="00CD0C30" w:rsidRDefault="007341F0" w:rsidP="008B0F1B">
      <w:pPr>
        <w:rPr>
          <w:szCs w:val="24"/>
          <w:u w:val="single"/>
        </w:rPr>
      </w:pPr>
    </w:p>
    <w:p w14:paraId="694CFE57" w14:textId="77777777" w:rsidR="00C317CF" w:rsidRPr="00F06FAA" w:rsidRDefault="008B0F1B" w:rsidP="008B0F1B">
      <w:pPr>
        <w:rPr>
          <w:szCs w:val="24"/>
        </w:rPr>
      </w:pPr>
      <w:r w:rsidRPr="00F06FAA">
        <w:rPr>
          <w:szCs w:val="24"/>
        </w:rPr>
        <w:t xml:space="preserve">Expected future cashflows are projected </w:t>
      </w:r>
      <w:r w:rsidR="00C317CF" w:rsidRPr="00F06FAA">
        <w:rPr>
          <w:szCs w:val="24"/>
        </w:rPr>
        <w:t>for all future years</w:t>
      </w:r>
      <w:r w:rsidRPr="00F06FAA">
        <w:rPr>
          <w:szCs w:val="24"/>
        </w:rPr>
        <w:t xml:space="preserve"> starting from 1 January 2020.  </w:t>
      </w:r>
    </w:p>
    <w:p w14:paraId="6E512CA8" w14:textId="436BCF7A" w:rsidR="008B0F1B" w:rsidRDefault="008B0F1B" w:rsidP="008B0F1B">
      <w:pPr>
        <w:rPr>
          <w:szCs w:val="24"/>
        </w:rPr>
      </w:pPr>
      <w:r w:rsidRPr="00F06FAA">
        <w:rPr>
          <w:szCs w:val="24"/>
        </w:rPr>
        <w:t>The youngest age group (age 55 ne</w:t>
      </w:r>
      <w:r w:rsidR="00F06FAA" w:rsidRPr="00F06FAA">
        <w:rPr>
          <w:szCs w:val="24"/>
        </w:rPr>
        <w:t>x</w:t>
      </w:r>
      <w:r w:rsidRPr="00F06FAA">
        <w:rPr>
          <w:szCs w:val="24"/>
        </w:rPr>
        <w:t xml:space="preserve">t) is expected to live for 24.5 years from their retirement which is in 10 years so the projections extend for 24.5 + 10 = 34.5 </w:t>
      </w:r>
      <w:r w:rsidR="00B45E44" w:rsidRPr="00F06FAA">
        <w:rPr>
          <w:szCs w:val="24"/>
        </w:rPr>
        <w:t xml:space="preserve">future </w:t>
      </w:r>
      <w:r w:rsidRPr="00F06FAA">
        <w:rPr>
          <w:szCs w:val="24"/>
        </w:rPr>
        <w:t>years.</w:t>
      </w:r>
    </w:p>
    <w:p w14:paraId="3B2B1740" w14:textId="77777777" w:rsidR="008B0F1B" w:rsidRDefault="008B0F1B" w:rsidP="008B0F1B">
      <w:pPr>
        <w:rPr>
          <w:szCs w:val="24"/>
        </w:rPr>
      </w:pPr>
    </w:p>
    <w:p w14:paraId="7F27D394" w14:textId="5A267E25" w:rsidR="008B0F1B" w:rsidRDefault="0013677D" w:rsidP="008B0F1B">
      <w:pPr>
        <w:rPr>
          <w:szCs w:val="24"/>
        </w:rPr>
      </w:pPr>
      <w:r>
        <w:rPr>
          <w:szCs w:val="24"/>
        </w:rPr>
        <w:t>P</w:t>
      </w:r>
      <w:r w:rsidR="00C317CF">
        <w:rPr>
          <w:szCs w:val="24"/>
        </w:rPr>
        <w:t>ayment ind</w:t>
      </w:r>
      <w:r w:rsidR="008B0F1B">
        <w:rPr>
          <w:szCs w:val="24"/>
        </w:rPr>
        <w:t>icators for each age ne</w:t>
      </w:r>
      <w:r w:rsidR="0005199B">
        <w:rPr>
          <w:szCs w:val="24"/>
        </w:rPr>
        <w:t>x</w:t>
      </w:r>
      <w:r w:rsidR="008B0F1B">
        <w:rPr>
          <w:szCs w:val="24"/>
        </w:rPr>
        <w:t>t group, for each future relevant year where a pension is in p</w:t>
      </w:r>
      <w:r w:rsidR="00B3177F">
        <w:rPr>
          <w:szCs w:val="24"/>
        </w:rPr>
        <w:t xml:space="preserve">ayment </w:t>
      </w:r>
      <w:r>
        <w:rPr>
          <w:szCs w:val="24"/>
        </w:rPr>
        <w:t xml:space="preserve">are set as </w:t>
      </w:r>
      <w:r w:rsidR="00B3177F">
        <w:rPr>
          <w:szCs w:val="24"/>
        </w:rPr>
        <w:t xml:space="preserve">1 for a </w:t>
      </w:r>
      <w:r w:rsidR="008B0F1B">
        <w:rPr>
          <w:szCs w:val="24"/>
        </w:rPr>
        <w:t xml:space="preserve">year </w:t>
      </w:r>
      <w:r w:rsidR="00B3177F">
        <w:rPr>
          <w:szCs w:val="24"/>
        </w:rPr>
        <w:t xml:space="preserve">in payment </w:t>
      </w:r>
      <w:r w:rsidR="008B0F1B">
        <w:rPr>
          <w:szCs w:val="24"/>
        </w:rPr>
        <w:t xml:space="preserve">and </w:t>
      </w:r>
      <w:r w:rsidR="00B3177F">
        <w:rPr>
          <w:szCs w:val="24"/>
        </w:rPr>
        <w:t>0</w:t>
      </w:r>
      <w:r w:rsidR="008B0F1B">
        <w:rPr>
          <w:szCs w:val="24"/>
        </w:rPr>
        <w:t xml:space="preserve"> for a </w:t>
      </w:r>
      <w:r w:rsidR="00B3177F">
        <w:rPr>
          <w:szCs w:val="24"/>
        </w:rPr>
        <w:t xml:space="preserve">year before the age </w:t>
      </w:r>
      <w:r w:rsidR="0005199B">
        <w:rPr>
          <w:szCs w:val="24"/>
        </w:rPr>
        <w:t>next is</w:t>
      </w:r>
      <w:r w:rsidR="00B3177F">
        <w:rPr>
          <w:szCs w:val="24"/>
        </w:rPr>
        <w:t xml:space="preserve"> 65 or after the age group is expected to have died.</w:t>
      </w:r>
    </w:p>
    <w:p w14:paraId="35ECD318" w14:textId="77777777" w:rsidR="008B0F1B" w:rsidRDefault="008B0F1B" w:rsidP="008B0F1B">
      <w:pPr>
        <w:rPr>
          <w:szCs w:val="24"/>
        </w:rPr>
      </w:pPr>
    </w:p>
    <w:p w14:paraId="596B2326" w14:textId="2E0D2D35" w:rsidR="008B0F1B" w:rsidRDefault="0013677D" w:rsidP="008B0F1B">
      <w:pPr>
        <w:rPr>
          <w:szCs w:val="24"/>
        </w:rPr>
      </w:pPr>
      <w:r>
        <w:rPr>
          <w:szCs w:val="24"/>
        </w:rPr>
        <w:t>These are multiplied by</w:t>
      </w:r>
      <w:r w:rsidR="008B0F1B">
        <w:rPr>
          <w:szCs w:val="24"/>
        </w:rPr>
        <w:t xml:space="preserve"> </w:t>
      </w:r>
      <w:r w:rsidR="00B3177F">
        <w:rPr>
          <w:szCs w:val="24"/>
        </w:rPr>
        <w:t>“</w:t>
      </w:r>
      <w:r w:rsidR="008B0F1B">
        <w:rPr>
          <w:szCs w:val="24"/>
        </w:rPr>
        <w:t>cumulative inflation increases</w:t>
      </w:r>
      <w:r w:rsidR="00B3177F">
        <w:rPr>
          <w:szCs w:val="24"/>
        </w:rPr>
        <w:t xml:space="preserve">” from </w:t>
      </w:r>
      <w:r w:rsidR="0005199B">
        <w:rPr>
          <w:szCs w:val="24"/>
        </w:rPr>
        <w:t>retirement</w:t>
      </w:r>
      <w:r w:rsidR="00B3177F">
        <w:rPr>
          <w:szCs w:val="24"/>
        </w:rPr>
        <w:t xml:space="preserve"> f</w:t>
      </w:r>
      <w:r w:rsidR="008B0F1B">
        <w:rPr>
          <w:szCs w:val="24"/>
        </w:rPr>
        <w:t>or each age group</w:t>
      </w:r>
      <w:r>
        <w:rPr>
          <w:szCs w:val="24"/>
        </w:rPr>
        <w:t>.  The cumulative inflation increases</w:t>
      </w:r>
      <w:r w:rsidR="008B0F1B">
        <w:rPr>
          <w:szCs w:val="24"/>
        </w:rPr>
        <w:t xml:space="preserve"> </w:t>
      </w:r>
      <w:r>
        <w:rPr>
          <w:szCs w:val="24"/>
        </w:rPr>
        <w:t>are</w:t>
      </w:r>
      <w:r w:rsidR="00B3177F">
        <w:rPr>
          <w:szCs w:val="24"/>
        </w:rPr>
        <w:t xml:space="preserve"> 0 in years when the payment indicator is 0 and </w:t>
      </w:r>
      <w:r w:rsidR="008B0F1B">
        <w:rPr>
          <w:szCs w:val="24"/>
        </w:rPr>
        <w:t>star</w:t>
      </w:r>
      <w:r w:rsidR="00545F9A">
        <w:rPr>
          <w:szCs w:val="24"/>
        </w:rPr>
        <w:t xml:space="preserve">t </w:t>
      </w:r>
      <w:r w:rsidR="008B0F1B">
        <w:rPr>
          <w:szCs w:val="24"/>
        </w:rPr>
        <w:t xml:space="preserve">from an indicator of 1 in the year </w:t>
      </w:r>
      <w:r w:rsidR="00B3177F">
        <w:rPr>
          <w:szCs w:val="24"/>
        </w:rPr>
        <w:t>the group</w:t>
      </w:r>
      <w:r w:rsidR="00C317CF">
        <w:rPr>
          <w:szCs w:val="24"/>
        </w:rPr>
        <w:t xml:space="preserve"> first receives a pension payment</w:t>
      </w:r>
      <w:r w:rsidR="007341F0">
        <w:rPr>
          <w:szCs w:val="24"/>
        </w:rPr>
        <w:t xml:space="preserve">, </w:t>
      </w:r>
      <w:r w:rsidR="008B0F1B">
        <w:rPr>
          <w:szCs w:val="24"/>
        </w:rPr>
        <w:t>increasing in each subsequent year of payment by multiplying by (1 + the assumed inflation rate).</w:t>
      </w:r>
    </w:p>
    <w:p w14:paraId="7E304410" w14:textId="77777777" w:rsidR="008B0F1B" w:rsidRDefault="008B0F1B" w:rsidP="008B0F1B">
      <w:pPr>
        <w:rPr>
          <w:szCs w:val="24"/>
        </w:rPr>
      </w:pPr>
    </w:p>
    <w:p w14:paraId="1CB02329" w14:textId="4A8C1B7A" w:rsidR="008B0F1B" w:rsidRDefault="008B0F1B" w:rsidP="008B0F1B">
      <w:pPr>
        <w:rPr>
          <w:szCs w:val="24"/>
        </w:rPr>
      </w:pPr>
      <w:r>
        <w:rPr>
          <w:szCs w:val="24"/>
        </w:rPr>
        <w:t xml:space="preserve">The expected </w:t>
      </w:r>
      <w:r w:rsidR="00B3177F">
        <w:rPr>
          <w:szCs w:val="24"/>
        </w:rPr>
        <w:t>future</w:t>
      </w:r>
      <w:r>
        <w:rPr>
          <w:szCs w:val="24"/>
        </w:rPr>
        <w:t xml:space="preserve"> cashflows are calculated </w:t>
      </w:r>
      <w:r w:rsidR="0013677D">
        <w:rPr>
          <w:szCs w:val="24"/>
        </w:rPr>
        <w:t xml:space="preserve">by multiplying </w:t>
      </w:r>
      <w:r w:rsidR="00B45E44">
        <w:rPr>
          <w:szCs w:val="24"/>
        </w:rPr>
        <w:t>the</w:t>
      </w:r>
      <w:r>
        <w:rPr>
          <w:szCs w:val="24"/>
        </w:rPr>
        <w:t xml:space="preserve"> </w:t>
      </w:r>
      <w:r w:rsidR="00B3177F">
        <w:rPr>
          <w:szCs w:val="24"/>
        </w:rPr>
        <w:t xml:space="preserve">total </w:t>
      </w:r>
      <w:r>
        <w:rPr>
          <w:szCs w:val="24"/>
        </w:rPr>
        <w:t xml:space="preserve">pension at </w:t>
      </w:r>
      <w:r w:rsidR="0005199B">
        <w:rPr>
          <w:szCs w:val="24"/>
        </w:rPr>
        <w:t>retirement</w:t>
      </w:r>
      <w:r>
        <w:rPr>
          <w:szCs w:val="24"/>
        </w:rPr>
        <w:t xml:space="preserve"> for each</w:t>
      </w:r>
      <w:r w:rsidR="007D6E6C">
        <w:rPr>
          <w:szCs w:val="24"/>
        </w:rPr>
        <w:t xml:space="preserve"> age ne</w:t>
      </w:r>
      <w:r w:rsidR="0005199B">
        <w:rPr>
          <w:szCs w:val="24"/>
        </w:rPr>
        <w:t>xt</w:t>
      </w:r>
      <w:r w:rsidR="007D6E6C">
        <w:rPr>
          <w:szCs w:val="24"/>
        </w:rPr>
        <w:t xml:space="preserve"> group</w:t>
      </w:r>
      <w:r>
        <w:rPr>
          <w:szCs w:val="24"/>
        </w:rPr>
        <w:t xml:space="preserve"> by the corresponding </w:t>
      </w:r>
      <w:r w:rsidR="00B3177F">
        <w:rPr>
          <w:szCs w:val="24"/>
        </w:rPr>
        <w:t>cell</w:t>
      </w:r>
      <w:r w:rsidR="00B45E44">
        <w:rPr>
          <w:szCs w:val="24"/>
        </w:rPr>
        <w:t>s</w:t>
      </w:r>
      <w:r>
        <w:rPr>
          <w:szCs w:val="24"/>
        </w:rPr>
        <w:t xml:space="preserve"> from the </w:t>
      </w:r>
      <w:r w:rsidR="00B3177F">
        <w:rPr>
          <w:szCs w:val="24"/>
        </w:rPr>
        <w:t>“</w:t>
      </w:r>
      <w:r>
        <w:rPr>
          <w:szCs w:val="24"/>
        </w:rPr>
        <w:t>cumulative inflation increases</w:t>
      </w:r>
      <w:r w:rsidR="00B3177F">
        <w:rPr>
          <w:szCs w:val="24"/>
        </w:rPr>
        <w:t xml:space="preserve">” </w:t>
      </w:r>
      <w:r w:rsidR="007957EF">
        <w:rPr>
          <w:szCs w:val="24"/>
        </w:rPr>
        <w:t>column</w:t>
      </w:r>
      <w:r w:rsidR="00B45E44">
        <w:rPr>
          <w:szCs w:val="24"/>
        </w:rPr>
        <w:t xml:space="preserve"> for each future relevant year</w:t>
      </w:r>
      <w:r w:rsidR="0013677D">
        <w:rPr>
          <w:szCs w:val="24"/>
        </w:rPr>
        <w:t xml:space="preserve"> and summing for all age </w:t>
      </w:r>
      <w:r w:rsidR="00FC3DAB">
        <w:rPr>
          <w:szCs w:val="24"/>
        </w:rPr>
        <w:t>next</w:t>
      </w:r>
      <w:r w:rsidR="0013677D">
        <w:rPr>
          <w:szCs w:val="24"/>
        </w:rPr>
        <w:t xml:space="preserve"> groups</w:t>
      </w:r>
      <w:r w:rsidR="00B3177F">
        <w:rPr>
          <w:szCs w:val="24"/>
        </w:rPr>
        <w:t>.</w:t>
      </w:r>
    </w:p>
    <w:p w14:paraId="1BE1804F" w14:textId="77777777" w:rsidR="008B0F1B" w:rsidRDefault="008B0F1B" w:rsidP="008B0F1B">
      <w:pPr>
        <w:rPr>
          <w:b/>
          <w:szCs w:val="24"/>
        </w:rPr>
      </w:pPr>
    </w:p>
    <w:p w14:paraId="4B05A2F0" w14:textId="77777777" w:rsidR="00A52875" w:rsidRPr="00E774DB" w:rsidRDefault="00A52875" w:rsidP="00A52875">
      <w:pPr>
        <w:rPr>
          <w:szCs w:val="24"/>
          <w:u w:val="single"/>
        </w:rPr>
      </w:pPr>
      <w:r w:rsidRPr="00E774DB">
        <w:rPr>
          <w:szCs w:val="24"/>
          <w:u w:val="single"/>
        </w:rPr>
        <w:t>Present value of existing pension</w:t>
      </w:r>
      <w:r>
        <w:rPr>
          <w:szCs w:val="24"/>
          <w:u w:val="single"/>
        </w:rPr>
        <w:t xml:space="preserve"> payment</w:t>
      </w:r>
      <w:r w:rsidRPr="00E774DB">
        <w:rPr>
          <w:szCs w:val="24"/>
          <w:u w:val="single"/>
        </w:rPr>
        <w:t xml:space="preserve"> liability</w:t>
      </w:r>
    </w:p>
    <w:p w14:paraId="3248AD20" w14:textId="77777777" w:rsidR="00A52875" w:rsidRDefault="00A52875" w:rsidP="00A52875">
      <w:pPr>
        <w:rPr>
          <w:szCs w:val="24"/>
        </w:rPr>
      </w:pPr>
    </w:p>
    <w:p w14:paraId="29267998" w14:textId="37A172ED" w:rsidR="00A52875" w:rsidRDefault="00A52875" w:rsidP="00A52875">
      <w:pPr>
        <w:rPr>
          <w:szCs w:val="24"/>
        </w:rPr>
      </w:pPr>
      <w:r>
        <w:rPr>
          <w:szCs w:val="24"/>
        </w:rPr>
        <w:t>The present value of</w:t>
      </w:r>
      <w:r w:rsidRPr="00821B11">
        <w:rPr>
          <w:szCs w:val="24"/>
        </w:rPr>
        <w:t xml:space="preserve"> </w:t>
      </w:r>
      <w:r>
        <w:rPr>
          <w:szCs w:val="24"/>
        </w:rPr>
        <w:t>the existing inflation increasing pension payments as at 1 January 2020 is calculated for each age ne</w:t>
      </w:r>
      <w:r w:rsidR="0005199B">
        <w:rPr>
          <w:szCs w:val="24"/>
        </w:rPr>
        <w:t>xt</w:t>
      </w:r>
      <w:r>
        <w:rPr>
          <w:szCs w:val="24"/>
        </w:rPr>
        <w:t xml:space="preserve"> group by:</w:t>
      </w:r>
    </w:p>
    <w:p w14:paraId="12F01D80" w14:textId="77777777" w:rsidR="00620F00" w:rsidRDefault="00620F00" w:rsidP="00A52875">
      <w:pPr>
        <w:rPr>
          <w:szCs w:val="24"/>
        </w:rPr>
      </w:pPr>
    </w:p>
    <w:p w14:paraId="3E53D06A" w14:textId="17C299AF" w:rsidR="00A52875" w:rsidRPr="0051746F" w:rsidRDefault="00A52875" w:rsidP="00A52875">
      <w:pPr>
        <w:pStyle w:val="ListParagraph"/>
        <w:numPr>
          <w:ilvl w:val="0"/>
          <w:numId w:val="40"/>
        </w:numPr>
      </w:pPr>
      <w:r>
        <w:t>Discounting total expected cashflows for each future year to 1 January 2020.</w:t>
      </w:r>
    </w:p>
    <w:p w14:paraId="04C97042" w14:textId="77777777" w:rsidR="00A52875" w:rsidRDefault="00A52875" w:rsidP="00A52875">
      <w:pPr>
        <w:rPr>
          <w:szCs w:val="24"/>
        </w:rPr>
      </w:pPr>
    </w:p>
    <w:p w14:paraId="35041B2F" w14:textId="14CC3D1C" w:rsidR="008B0F1B" w:rsidRPr="00CD0C30" w:rsidRDefault="00F07578" w:rsidP="008B0F1B">
      <w:pPr>
        <w:rPr>
          <w:szCs w:val="24"/>
          <w:u w:val="single"/>
        </w:rPr>
      </w:pPr>
      <w:r>
        <w:rPr>
          <w:szCs w:val="24"/>
          <w:u w:val="single"/>
        </w:rPr>
        <w:t>P</w:t>
      </w:r>
      <w:r w:rsidR="008B0F1B" w:rsidRPr="00CD0C30">
        <w:rPr>
          <w:szCs w:val="24"/>
          <w:u w:val="single"/>
        </w:rPr>
        <w:t>IE</w:t>
      </w:r>
      <w:r w:rsidR="00B3177F">
        <w:rPr>
          <w:szCs w:val="24"/>
          <w:u w:val="single"/>
        </w:rPr>
        <w:t xml:space="preserve"> proposal cashflows</w:t>
      </w:r>
    </w:p>
    <w:p w14:paraId="02CE2EBB" w14:textId="77777777" w:rsidR="00B3177F" w:rsidRDefault="00B3177F" w:rsidP="008B0F1B">
      <w:pPr>
        <w:rPr>
          <w:szCs w:val="24"/>
        </w:rPr>
      </w:pPr>
    </w:p>
    <w:p w14:paraId="0B9ED6C2" w14:textId="0F9AE37D" w:rsidR="00A52875" w:rsidRDefault="00A52875" w:rsidP="008B0F1B">
      <w:r>
        <w:rPr>
          <w:szCs w:val="24"/>
        </w:rPr>
        <w:t xml:space="preserve">The </w:t>
      </w:r>
      <w:r w:rsidR="00F07578" w:rsidRPr="005B71E7">
        <w:t xml:space="preserve">post PIE </w:t>
      </w:r>
      <w:r w:rsidR="00F07578">
        <w:t>proposal</w:t>
      </w:r>
      <w:r w:rsidR="00F07578" w:rsidRPr="005B71E7">
        <w:t xml:space="preserve"> </w:t>
      </w:r>
      <w:r w:rsidR="00F07578" w:rsidRPr="00B3177F">
        <w:rPr>
          <w:u w:val="single"/>
        </w:rPr>
        <w:t>non-increasing</w:t>
      </w:r>
      <w:r w:rsidR="00F07578">
        <w:t xml:space="preserve"> pension payable from </w:t>
      </w:r>
      <w:r w:rsidR="0005199B">
        <w:t>retirement</w:t>
      </w:r>
      <w:r w:rsidR="00F07578">
        <w:t xml:space="preserve"> is calculated by initially assuming</w:t>
      </w:r>
      <w:r w:rsidR="004910E5">
        <w:t xml:space="preserve"> it is equal</w:t>
      </w:r>
      <w:r w:rsidR="00F07578">
        <w:t xml:space="preserve"> to the exis</w:t>
      </w:r>
      <w:r w:rsidR="0005199B">
        <w:t>ting pension payable from retirement</w:t>
      </w:r>
      <w:r w:rsidR="004910E5">
        <w:t xml:space="preserve"> multiplied by a dummy PIE pension ratio</w:t>
      </w:r>
      <w:r w:rsidR="00F07578">
        <w:t xml:space="preserve">. </w:t>
      </w:r>
    </w:p>
    <w:p w14:paraId="6E323388" w14:textId="77777777" w:rsidR="00F07578" w:rsidRDefault="00F07578" w:rsidP="008B0F1B">
      <w:pPr>
        <w:rPr>
          <w:szCs w:val="24"/>
        </w:rPr>
      </w:pPr>
    </w:p>
    <w:p w14:paraId="7993B4A9" w14:textId="6A7EBB36" w:rsidR="008B0F1B" w:rsidRDefault="008B0F1B" w:rsidP="008B0F1B">
      <w:pPr>
        <w:rPr>
          <w:szCs w:val="24"/>
        </w:rPr>
      </w:pPr>
      <w:r>
        <w:rPr>
          <w:szCs w:val="24"/>
        </w:rPr>
        <w:t xml:space="preserve">The expected post PIE </w:t>
      </w:r>
      <w:r w:rsidR="00B3177F">
        <w:rPr>
          <w:szCs w:val="24"/>
        </w:rPr>
        <w:t>proposal</w:t>
      </w:r>
      <w:r>
        <w:rPr>
          <w:szCs w:val="24"/>
        </w:rPr>
        <w:t xml:space="preserve"> cashflows </w:t>
      </w:r>
      <w:r w:rsidR="007957EF">
        <w:rPr>
          <w:szCs w:val="24"/>
        </w:rPr>
        <w:t xml:space="preserve">for each future year </w:t>
      </w:r>
      <w:r>
        <w:rPr>
          <w:szCs w:val="24"/>
        </w:rPr>
        <w:t>are calculated by adding:</w:t>
      </w:r>
    </w:p>
    <w:p w14:paraId="3286A863" w14:textId="77777777" w:rsidR="008B0F1B" w:rsidRDefault="008B0F1B" w:rsidP="008B0F1B">
      <w:pPr>
        <w:rPr>
          <w:szCs w:val="24"/>
        </w:rPr>
      </w:pPr>
    </w:p>
    <w:p w14:paraId="72F6B481" w14:textId="55E0E40A" w:rsidR="008B0F1B" w:rsidRPr="005B71E7" w:rsidRDefault="00B64AE8" w:rsidP="008B0F1B">
      <w:pPr>
        <w:pStyle w:val="ListParagraph"/>
        <w:numPr>
          <w:ilvl w:val="0"/>
          <w:numId w:val="45"/>
        </w:numPr>
      </w:pPr>
      <w:r>
        <w:t>PIE take up rate</w:t>
      </w:r>
      <w:r w:rsidR="0013677D">
        <w:t xml:space="preserve"> </w:t>
      </w:r>
      <w:r w:rsidR="00637504">
        <w:t>(</w:t>
      </w:r>
      <w:r w:rsidR="0013677D">
        <w:t>40%</w:t>
      </w:r>
      <w:r w:rsidR="00637504">
        <w:t>)</w:t>
      </w:r>
      <w:r>
        <w:t xml:space="preserve"> x </w:t>
      </w:r>
      <w:r w:rsidR="007D6E6C">
        <w:t xml:space="preserve">sumproduct function on the </w:t>
      </w:r>
      <w:r w:rsidR="008B0F1B" w:rsidRPr="005B71E7">
        <w:t xml:space="preserve">calculated post PIE </w:t>
      </w:r>
      <w:r w:rsidR="00B3177F">
        <w:t>proposal</w:t>
      </w:r>
      <w:r w:rsidR="008B0F1B" w:rsidRPr="005B71E7">
        <w:t xml:space="preserve"> </w:t>
      </w:r>
      <w:r w:rsidR="008B0F1B" w:rsidRPr="00B3177F">
        <w:rPr>
          <w:u w:val="single"/>
        </w:rPr>
        <w:t>non-increasing</w:t>
      </w:r>
      <w:r w:rsidR="008B0F1B" w:rsidRPr="005B71E7">
        <w:t xml:space="preserve"> pension </w:t>
      </w:r>
      <w:r w:rsidR="00F07578">
        <w:t>payable from</w:t>
      </w:r>
      <w:r w:rsidR="007D6E6C">
        <w:t xml:space="preserve"> </w:t>
      </w:r>
      <w:r w:rsidR="0005199B">
        <w:t>retirement</w:t>
      </w:r>
      <w:r w:rsidR="008B0F1B" w:rsidRPr="005B71E7">
        <w:t xml:space="preserve"> for each age ne</w:t>
      </w:r>
      <w:r w:rsidR="0005199B">
        <w:t>x</w:t>
      </w:r>
      <w:r w:rsidR="008B0F1B" w:rsidRPr="005B71E7">
        <w:t xml:space="preserve">t </w:t>
      </w:r>
      <w:r w:rsidR="008B0F1B">
        <w:t>group</w:t>
      </w:r>
      <w:r w:rsidR="008B0F1B" w:rsidRPr="005B71E7">
        <w:t xml:space="preserve"> </w:t>
      </w:r>
      <w:r w:rsidR="007D6E6C">
        <w:t>x the</w:t>
      </w:r>
      <w:r w:rsidR="008B0F1B" w:rsidRPr="005B71E7">
        <w:t xml:space="preserve"> </w:t>
      </w:r>
      <w:r w:rsidR="007957EF">
        <w:t xml:space="preserve">corresponding cells from the </w:t>
      </w:r>
      <w:r w:rsidR="008B0F1B" w:rsidRPr="005B71E7">
        <w:t>payment</w:t>
      </w:r>
      <w:r>
        <w:t xml:space="preserve"> </w:t>
      </w:r>
      <w:r w:rsidR="008B0F1B" w:rsidRPr="005B71E7">
        <w:t>indicator matrix column for that age group.</w:t>
      </w:r>
    </w:p>
    <w:p w14:paraId="7D77B132" w14:textId="77777777" w:rsidR="008B0F1B" w:rsidRDefault="008B0F1B" w:rsidP="008B0F1B">
      <w:pPr>
        <w:pStyle w:val="ListParagraph"/>
      </w:pPr>
    </w:p>
    <w:p w14:paraId="6A30E1C9" w14:textId="268E5D4C" w:rsidR="00B64AE8" w:rsidRPr="005B71E7" w:rsidRDefault="00B64AE8" w:rsidP="00B64AE8">
      <w:pPr>
        <w:pStyle w:val="ListParagraph"/>
        <w:numPr>
          <w:ilvl w:val="0"/>
          <w:numId w:val="45"/>
        </w:numPr>
      </w:pPr>
      <w:r>
        <w:t>(1-PIE take up rate</w:t>
      </w:r>
      <w:r w:rsidR="0013677D">
        <w:t xml:space="preserve"> </w:t>
      </w:r>
      <w:r w:rsidR="00637504">
        <w:t>(</w:t>
      </w:r>
      <w:r w:rsidR="0013677D">
        <w:t>40%</w:t>
      </w:r>
      <w:r>
        <w:t>)</w:t>
      </w:r>
      <w:r w:rsidR="00637504">
        <w:t>)</w:t>
      </w:r>
      <w:r>
        <w:t xml:space="preserve"> x sumproduct function on the </w:t>
      </w:r>
      <w:r w:rsidRPr="005B71E7">
        <w:t xml:space="preserve">calculated </w:t>
      </w:r>
      <w:r>
        <w:t xml:space="preserve">existing </w:t>
      </w:r>
      <w:r w:rsidRPr="00B64AE8">
        <w:rPr>
          <w:u w:val="single"/>
        </w:rPr>
        <w:t>inflation</w:t>
      </w:r>
      <w:r>
        <w:t xml:space="preserve"> </w:t>
      </w:r>
      <w:r w:rsidRPr="00B3177F">
        <w:rPr>
          <w:u w:val="single"/>
        </w:rPr>
        <w:t>increasing</w:t>
      </w:r>
      <w:r w:rsidRPr="005B71E7">
        <w:t xml:space="preserve"> pension </w:t>
      </w:r>
      <w:r>
        <w:t xml:space="preserve">payable from </w:t>
      </w:r>
      <w:r w:rsidR="0005199B">
        <w:t>retirement</w:t>
      </w:r>
      <w:r w:rsidRPr="005B71E7">
        <w:t xml:space="preserve"> for each age ne</w:t>
      </w:r>
      <w:r w:rsidR="0005199B">
        <w:t>x</w:t>
      </w:r>
      <w:r w:rsidRPr="005B71E7">
        <w:t xml:space="preserve">t </w:t>
      </w:r>
      <w:r>
        <w:t>group</w:t>
      </w:r>
      <w:r w:rsidRPr="005B71E7">
        <w:t xml:space="preserve"> </w:t>
      </w:r>
      <w:r>
        <w:t>x the</w:t>
      </w:r>
      <w:r w:rsidR="007957EF">
        <w:t xml:space="preserve"> corresponding cells from the cumulative inflation increases column for</w:t>
      </w:r>
      <w:r w:rsidRPr="005B71E7">
        <w:t xml:space="preserve"> that age group.</w:t>
      </w:r>
    </w:p>
    <w:p w14:paraId="6A49B984" w14:textId="77777777" w:rsidR="008B0F1B" w:rsidRDefault="008B0F1B" w:rsidP="008B0F1B">
      <w:pPr>
        <w:rPr>
          <w:szCs w:val="24"/>
        </w:rPr>
      </w:pPr>
    </w:p>
    <w:p w14:paraId="3A11D100" w14:textId="77777777" w:rsidR="008B0F1B" w:rsidRDefault="008B0F1B" w:rsidP="008B0F1B">
      <w:pPr>
        <w:rPr>
          <w:szCs w:val="24"/>
        </w:rPr>
      </w:pPr>
    </w:p>
    <w:p w14:paraId="7C06ED42" w14:textId="77777777" w:rsidR="00545F9A" w:rsidRDefault="00545F9A" w:rsidP="008B0F1B">
      <w:pPr>
        <w:rPr>
          <w:szCs w:val="24"/>
        </w:rPr>
      </w:pPr>
    </w:p>
    <w:p w14:paraId="30C90A4B" w14:textId="77777777" w:rsidR="00545F9A" w:rsidRDefault="00545F9A" w:rsidP="008B0F1B">
      <w:pPr>
        <w:rPr>
          <w:szCs w:val="24"/>
        </w:rPr>
      </w:pPr>
    </w:p>
    <w:p w14:paraId="2B9CA8E7" w14:textId="77777777" w:rsidR="00545F9A" w:rsidRDefault="00545F9A" w:rsidP="008B0F1B">
      <w:pPr>
        <w:rPr>
          <w:szCs w:val="24"/>
        </w:rPr>
      </w:pPr>
    </w:p>
    <w:p w14:paraId="20652DFA" w14:textId="774E3A71" w:rsidR="00A52875" w:rsidRPr="00E774DB" w:rsidRDefault="00A52875" w:rsidP="00A52875">
      <w:pPr>
        <w:rPr>
          <w:szCs w:val="24"/>
          <w:u w:val="single"/>
        </w:rPr>
      </w:pPr>
      <w:r w:rsidRPr="00E774DB">
        <w:rPr>
          <w:szCs w:val="24"/>
          <w:u w:val="single"/>
        </w:rPr>
        <w:lastRenderedPageBreak/>
        <w:t xml:space="preserve">Present value of </w:t>
      </w:r>
      <w:r>
        <w:rPr>
          <w:szCs w:val="24"/>
          <w:u w:val="single"/>
        </w:rPr>
        <w:t>PIE proposal</w:t>
      </w:r>
      <w:r w:rsidRPr="00E774DB">
        <w:rPr>
          <w:szCs w:val="24"/>
          <w:u w:val="single"/>
        </w:rPr>
        <w:t xml:space="preserve"> pension</w:t>
      </w:r>
      <w:r>
        <w:rPr>
          <w:szCs w:val="24"/>
          <w:u w:val="single"/>
        </w:rPr>
        <w:t xml:space="preserve"> payment</w:t>
      </w:r>
      <w:r w:rsidRPr="00E774DB">
        <w:rPr>
          <w:szCs w:val="24"/>
          <w:u w:val="single"/>
        </w:rPr>
        <w:t xml:space="preserve"> liability</w:t>
      </w:r>
    </w:p>
    <w:p w14:paraId="64A18E3C" w14:textId="77777777" w:rsidR="00A52875" w:rsidRDefault="00A52875" w:rsidP="00A52875">
      <w:pPr>
        <w:rPr>
          <w:szCs w:val="24"/>
        </w:rPr>
      </w:pPr>
    </w:p>
    <w:p w14:paraId="24DA7967" w14:textId="4AF8C2C8" w:rsidR="00A52875" w:rsidRDefault="00A52875" w:rsidP="00A52875">
      <w:pPr>
        <w:rPr>
          <w:szCs w:val="24"/>
        </w:rPr>
      </w:pPr>
      <w:r>
        <w:rPr>
          <w:szCs w:val="24"/>
        </w:rPr>
        <w:t>The present value of</w:t>
      </w:r>
      <w:r w:rsidRPr="00821B11">
        <w:rPr>
          <w:szCs w:val="24"/>
        </w:rPr>
        <w:t xml:space="preserve"> </w:t>
      </w:r>
      <w:r>
        <w:rPr>
          <w:szCs w:val="24"/>
        </w:rPr>
        <w:t>the PIE proposal pension payments as at 1 January 202</w:t>
      </w:r>
      <w:r w:rsidR="0005199B">
        <w:rPr>
          <w:szCs w:val="24"/>
        </w:rPr>
        <w:t xml:space="preserve">0 is calculated for each </w:t>
      </w:r>
      <w:r w:rsidR="008904AE">
        <w:rPr>
          <w:szCs w:val="24"/>
        </w:rPr>
        <w:t>“</w:t>
      </w:r>
      <w:r w:rsidR="0005199B">
        <w:rPr>
          <w:szCs w:val="24"/>
        </w:rPr>
        <w:t>age nex</w:t>
      </w:r>
      <w:r>
        <w:rPr>
          <w:szCs w:val="24"/>
        </w:rPr>
        <w:t xml:space="preserve">t </w:t>
      </w:r>
      <w:r w:rsidR="008904AE">
        <w:rPr>
          <w:szCs w:val="24"/>
        </w:rPr>
        <w:t xml:space="preserve">birthday” </w:t>
      </w:r>
      <w:r>
        <w:rPr>
          <w:szCs w:val="24"/>
        </w:rPr>
        <w:t>group by:</w:t>
      </w:r>
    </w:p>
    <w:p w14:paraId="6C702395" w14:textId="77777777" w:rsidR="00A52875" w:rsidRDefault="00A52875" w:rsidP="00A52875">
      <w:pPr>
        <w:rPr>
          <w:szCs w:val="24"/>
        </w:rPr>
      </w:pPr>
    </w:p>
    <w:p w14:paraId="2511E9B1" w14:textId="77777777" w:rsidR="00A52875" w:rsidRPr="0051746F" w:rsidRDefault="00A52875" w:rsidP="00A52875">
      <w:pPr>
        <w:pStyle w:val="ListParagraph"/>
        <w:numPr>
          <w:ilvl w:val="0"/>
          <w:numId w:val="40"/>
        </w:numPr>
      </w:pPr>
      <w:r>
        <w:t>Discounting total expected cashflows for each future year to 1 January 2020.</w:t>
      </w:r>
    </w:p>
    <w:p w14:paraId="5CD2DC95" w14:textId="77777777" w:rsidR="00A52875" w:rsidRDefault="00A52875" w:rsidP="00A52875">
      <w:pPr>
        <w:rPr>
          <w:szCs w:val="24"/>
          <w:u w:val="single"/>
        </w:rPr>
      </w:pPr>
    </w:p>
    <w:p w14:paraId="0B9C1D39" w14:textId="7A511995" w:rsidR="00A52875" w:rsidRPr="005B71E7" w:rsidRDefault="00A52875" w:rsidP="00A52875">
      <w:pPr>
        <w:rPr>
          <w:szCs w:val="24"/>
          <w:u w:val="single"/>
        </w:rPr>
      </w:pPr>
      <w:r>
        <w:rPr>
          <w:szCs w:val="24"/>
          <w:u w:val="single"/>
        </w:rPr>
        <w:t xml:space="preserve">Calculation of </w:t>
      </w:r>
      <w:r w:rsidR="00F07578">
        <w:rPr>
          <w:szCs w:val="24"/>
          <w:u w:val="single"/>
        </w:rPr>
        <w:t xml:space="preserve">actual PIE pension ratio </w:t>
      </w:r>
    </w:p>
    <w:p w14:paraId="7F19D0FF" w14:textId="77777777" w:rsidR="00A52875" w:rsidRDefault="00A52875" w:rsidP="00A52875">
      <w:pPr>
        <w:rPr>
          <w:szCs w:val="24"/>
        </w:rPr>
      </w:pPr>
    </w:p>
    <w:p w14:paraId="1C73B6CF" w14:textId="5A624BD3" w:rsidR="00A52875" w:rsidRDefault="00A52875" w:rsidP="00A52875">
      <w:pPr>
        <w:rPr>
          <w:szCs w:val="24"/>
        </w:rPr>
      </w:pPr>
      <w:r>
        <w:rPr>
          <w:szCs w:val="24"/>
        </w:rPr>
        <w:t xml:space="preserve">The </w:t>
      </w:r>
      <w:r w:rsidR="00E337E5">
        <w:rPr>
          <w:szCs w:val="24"/>
        </w:rPr>
        <w:t xml:space="preserve">required </w:t>
      </w:r>
      <w:r w:rsidR="00F07578">
        <w:rPr>
          <w:szCs w:val="24"/>
        </w:rPr>
        <w:t>PIE pension ratio</w:t>
      </w:r>
      <w:r w:rsidR="00E337E5">
        <w:rPr>
          <w:szCs w:val="24"/>
        </w:rPr>
        <w:t xml:space="preserve"> </w:t>
      </w:r>
      <w:r w:rsidR="00F07578">
        <w:rPr>
          <w:szCs w:val="24"/>
        </w:rPr>
        <w:t>i</w:t>
      </w:r>
      <w:r>
        <w:rPr>
          <w:szCs w:val="24"/>
        </w:rPr>
        <w:t xml:space="preserve">s calculated </w:t>
      </w:r>
      <w:r w:rsidR="007341F0">
        <w:rPr>
          <w:szCs w:val="24"/>
        </w:rPr>
        <w:t>by goal</w:t>
      </w:r>
      <w:r w:rsidR="00F07578">
        <w:rPr>
          <w:szCs w:val="24"/>
        </w:rPr>
        <w:t xml:space="preserve">seek. The </w:t>
      </w:r>
      <w:r>
        <w:rPr>
          <w:szCs w:val="24"/>
        </w:rPr>
        <w:t>PIE pension ratio</w:t>
      </w:r>
      <w:r w:rsidR="00F07578">
        <w:rPr>
          <w:szCs w:val="24"/>
        </w:rPr>
        <w:t xml:space="preserve"> is varied</w:t>
      </w:r>
      <w:r>
        <w:rPr>
          <w:szCs w:val="24"/>
        </w:rPr>
        <w:t xml:space="preserve"> such that the </w:t>
      </w:r>
      <w:r w:rsidR="00F07578">
        <w:rPr>
          <w:szCs w:val="24"/>
        </w:rPr>
        <w:t xml:space="preserve">expected </w:t>
      </w:r>
      <w:r>
        <w:rPr>
          <w:szCs w:val="24"/>
        </w:rPr>
        <w:t>present value</w:t>
      </w:r>
      <w:r w:rsidR="00F07578">
        <w:rPr>
          <w:szCs w:val="24"/>
        </w:rPr>
        <w:t>s</w:t>
      </w:r>
      <w:r>
        <w:rPr>
          <w:szCs w:val="24"/>
        </w:rPr>
        <w:t xml:space="preserve"> of both the existing and PIE proposal’s </w:t>
      </w:r>
      <w:r w:rsidR="00F07578">
        <w:rPr>
          <w:szCs w:val="24"/>
        </w:rPr>
        <w:t>future pension cashflows are equal.</w:t>
      </w:r>
    </w:p>
    <w:p w14:paraId="1E38D388" w14:textId="77777777" w:rsidR="00A52875" w:rsidRDefault="00A52875" w:rsidP="00A52875">
      <w:pPr>
        <w:rPr>
          <w:szCs w:val="24"/>
        </w:rPr>
      </w:pPr>
    </w:p>
    <w:p w14:paraId="33EE78FC" w14:textId="77777777" w:rsidR="0005199B" w:rsidRDefault="0005199B" w:rsidP="00A52875">
      <w:pPr>
        <w:rPr>
          <w:szCs w:val="24"/>
        </w:rPr>
      </w:pPr>
    </w:p>
    <w:p w14:paraId="588BBD66" w14:textId="2A29D657" w:rsidR="008B0F1B" w:rsidRDefault="00B3177F" w:rsidP="008B0F1B">
      <w:pPr>
        <w:rPr>
          <w:b/>
          <w:szCs w:val="24"/>
        </w:rPr>
      </w:pPr>
      <w:r>
        <w:rPr>
          <w:b/>
          <w:szCs w:val="24"/>
        </w:rPr>
        <w:t>LS Proposal</w:t>
      </w:r>
    </w:p>
    <w:p w14:paraId="03EDC814" w14:textId="4803D144" w:rsidR="008B0F1B" w:rsidRDefault="008B0F1B" w:rsidP="008B0F1B">
      <w:pPr>
        <w:rPr>
          <w:b/>
          <w:szCs w:val="24"/>
        </w:rPr>
      </w:pPr>
      <w:r>
        <w:rPr>
          <w:b/>
          <w:szCs w:val="24"/>
        </w:rPr>
        <w:tab/>
      </w:r>
      <w:r w:rsidR="004910E5">
        <w:rPr>
          <w:b/>
          <w:szCs w:val="24"/>
        </w:rPr>
        <w:tab/>
      </w:r>
    </w:p>
    <w:p w14:paraId="54214875" w14:textId="3DEEB48D" w:rsidR="008B0F1B" w:rsidRPr="00E774DB" w:rsidRDefault="00B3177F" w:rsidP="008B0F1B">
      <w:pPr>
        <w:rPr>
          <w:szCs w:val="24"/>
          <w:u w:val="single"/>
        </w:rPr>
      </w:pPr>
      <w:r>
        <w:rPr>
          <w:szCs w:val="24"/>
          <w:u w:val="single"/>
        </w:rPr>
        <w:t>Sum of LS</w:t>
      </w:r>
      <w:r w:rsidR="008B0F1B" w:rsidRPr="00E774DB">
        <w:rPr>
          <w:szCs w:val="24"/>
          <w:u w:val="single"/>
        </w:rPr>
        <w:t xml:space="preserve"> payments </w:t>
      </w:r>
      <w:r>
        <w:rPr>
          <w:szCs w:val="24"/>
          <w:u w:val="single"/>
        </w:rPr>
        <w:t xml:space="preserve">expected to be </w:t>
      </w:r>
      <w:r w:rsidR="008B0F1B" w:rsidRPr="00E774DB">
        <w:rPr>
          <w:szCs w:val="24"/>
          <w:u w:val="single"/>
        </w:rPr>
        <w:t>made as at 1 January 2020</w:t>
      </w:r>
    </w:p>
    <w:p w14:paraId="1BE59C41" w14:textId="77777777" w:rsidR="008B0F1B" w:rsidRDefault="008B0F1B" w:rsidP="008B0F1B">
      <w:pPr>
        <w:rPr>
          <w:szCs w:val="24"/>
        </w:rPr>
      </w:pPr>
    </w:p>
    <w:p w14:paraId="52A824BB" w14:textId="4055A5F8" w:rsidR="008B0F1B" w:rsidRDefault="008B0F1B" w:rsidP="008B0F1B">
      <w:pPr>
        <w:rPr>
          <w:szCs w:val="24"/>
        </w:rPr>
      </w:pPr>
      <w:r>
        <w:rPr>
          <w:szCs w:val="24"/>
        </w:rPr>
        <w:t xml:space="preserve">The total </w:t>
      </w:r>
      <w:r w:rsidR="00B3177F">
        <w:rPr>
          <w:szCs w:val="24"/>
        </w:rPr>
        <w:t>lump sum</w:t>
      </w:r>
      <w:r>
        <w:rPr>
          <w:szCs w:val="24"/>
        </w:rPr>
        <w:t xml:space="preserve"> offered is calculated by</w:t>
      </w:r>
      <w:r w:rsidRPr="00B92FC1">
        <w:rPr>
          <w:szCs w:val="24"/>
        </w:rPr>
        <w:t xml:space="preserve"> </w:t>
      </w:r>
      <w:r>
        <w:rPr>
          <w:szCs w:val="24"/>
        </w:rPr>
        <w:t xml:space="preserve">multiplying the </w:t>
      </w:r>
      <w:r w:rsidR="000F575A">
        <w:rPr>
          <w:szCs w:val="24"/>
        </w:rPr>
        <w:t xml:space="preserve">expected net present value of the </w:t>
      </w:r>
      <w:r>
        <w:rPr>
          <w:szCs w:val="24"/>
        </w:rPr>
        <w:t xml:space="preserve">existing pension at </w:t>
      </w:r>
      <w:r w:rsidR="0005199B">
        <w:rPr>
          <w:szCs w:val="24"/>
        </w:rPr>
        <w:t xml:space="preserve">retirement </w:t>
      </w:r>
      <w:r w:rsidR="000F575A">
        <w:rPr>
          <w:szCs w:val="24"/>
        </w:rPr>
        <w:t xml:space="preserve">by an </w:t>
      </w:r>
      <w:r>
        <w:rPr>
          <w:szCs w:val="24"/>
        </w:rPr>
        <w:t xml:space="preserve">enhancement </w:t>
      </w:r>
      <w:r w:rsidR="000F575A">
        <w:rPr>
          <w:szCs w:val="24"/>
        </w:rPr>
        <w:t xml:space="preserve">of </w:t>
      </w:r>
      <w:r>
        <w:rPr>
          <w:szCs w:val="24"/>
        </w:rPr>
        <w:t>110%</w:t>
      </w:r>
      <w:r w:rsidR="000F575A">
        <w:rPr>
          <w:szCs w:val="24"/>
        </w:rPr>
        <w:t xml:space="preserve"> and the expected LS take up rate</w:t>
      </w:r>
      <w:r w:rsidR="0013677D">
        <w:rPr>
          <w:szCs w:val="24"/>
        </w:rPr>
        <w:t xml:space="preserve"> (30%)</w:t>
      </w:r>
      <w:r w:rsidR="00FE55FE">
        <w:rPr>
          <w:szCs w:val="24"/>
        </w:rPr>
        <w:t>.</w:t>
      </w:r>
    </w:p>
    <w:p w14:paraId="2A68854F" w14:textId="77777777" w:rsidR="000F575A" w:rsidRDefault="000F575A" w:rsidP="008B0F1B">
      <w:pPr>
        <w:rPr>
          <w:szCs w:val="24"/>
          <w:u w:val="single"/>
        </w:rPr>
      </w:pPr>
    </w:p>
    <w:p w14:paraId="66172F36" w14:textId="3B1FDBF0" w:rsidR="008B0F1B" w:rsidRDefault="000F575A" w:rsidP="008B0F1B">
      <w:pPr>
        <w:rPr>
          <w:rFonts w:eastAsia="Times New Roman" w:cs="Times New Roman"/>
          <w:szCs w:val="28"/>
          <w:u w:val="single"/>
        </w:rPr>
      </w:pPr>
      <w:r>
        <w:rPr>
          <w:rFonts w:eastAsia="Times New Roman" w:cs="Times New Roman"/>
          <w:szCs w:val="28"/>
          <w:u w:val="single"/>
        </w:rPr>
        <w:t>LS proposal</w:t>
      </w:r>
      <w:r w:rsidR="008B0F1B" w:rsidRPr="00250EB1">
        <w:rPr>
          <w:rFonts w:eastAsia="Times New Roman" w:cs="Times New Roman"/>
          <w:szCs w:val="28"/>
          <w:u w:val="single"/>
        </w:rPr>
        <w:t xml:space="preserve"> cashflows</w:t>
      </w:r>
    </w:p>
    <w:p w14:paraId="227B0535" w14:textId="77777777" w:rsidR="008B0F1B" w:rsidRDefault="008B0F1B" w:rsidP="008B0F1B">
      <w:pPr>
        <w:rPr>
          <w:rFonts w:eastAsia="Times New Roman" w:cs="Times New Roman"/>
          <w:szCs w:val="28"/>
          <w:u w:val="single"/>
        </w:rPr>
      </w:pPr>
    </w:p>
    <w:p w14:paraId="5045639F" w14:textId="0C505C39" w:rsidR="000F575A" w:rsidRDefault="000F575A" w:rsidP="008B0F1B">
      <w:pPr>
        <w:rPr>
          <w:rFonts w:eastAsia="Times New Roman" w:cs="Times New Roman"/>
          <w:szCs w:val="28"/>
        </w:rPr>
      </w:pPr>
      <w:r>
        <w:rPr>
          <w:rFonts w:eastAsia="Times New Roman" w:cs="Times New Roman"/>
          <w:szCs w:val="28"/>
        </w:rPr>
        <w:t>The expected cashflow at 1 January 2020 is the</w:t>
      </w:r>
      <w:r w:rsidR="00FE55FE">
        <w:rPr>
          <w:rFonts w:eastAsia="Times New Roman" w:cs="Times New Roman"/>
          <w:szCs w:val="28"/>
        </w:rPr>
        <w:t xml:space="preserve"> sum of the</w:t>
      </w:r>
      <w:r>
        <w:rPr>
          <w:rFonts w:eastAsia="Times New Roman" w:cs="Times New Roman"/>
          <w:szCs w:val="28"/>
        </w:rPr>
        <w:t xml:space="preserve"> expected LS payments </w:t>
      </w:r>
      <w:r w:rsidR="00FE55FE">
        <w:rPr>
          <w:rFonts w:eastAsia="Times New Roman" w:cs="Times New Roman"/>
          <w:szCs w:val="28"/>
        </w:rPr>
        <w:t>from the LS proposal.</w:t>
      </w:r>
    </w:p>
    <w:p w14:paraId="0DB96309" w14:textId="77777777" w:rsidR="000F575A" w:rsidRPr="000F575A" w:rsidRDefault="000F575A" w:rsidP="008B0F1B">
      <w:pPr>
        <w:rPr>
          <w:rFonts w:eastAsia="Times New Roman" w:cs="Times New Roman"/>
          <w:szCs w:val="28"/>
        </w:rPr>
      </w:pPr>
    </w:p>
    <w:p w14:paraId="507A6CB2" w14:textId="50F48060" w:rsidR="000F575A" w:rsidRPr="005B71E7" w:rsidRDefault="000F575A" w:rsidP="000F575A">
      <w:pPr>
        <w:rPr>
          <w:szCs w:val="24"/>
        </w:rPr>
      </w:pPr>
      <w:r>
        <w:rPr>
          <w:szCs w:val="24"/>
        </w:rPr>
        <w:t>The pension payments</w:t>
      </w:r>
      <w:r w:rsidR="002C5050">
        <w:rPr>
          <w:szCs w:val="24"/>
        </w:rPr>
        <w:t xml:space="preserve"> from 1 January 2021 onwards</w:t>
      </w:r>
      <w:r>
        <w:rPr>
          <w:szCs w:val="24"/>
        </w:rPr>
        <w:t xml:space="preserve"> are equal to (100% minus the </w:t>
      </w:r>
      <w:r w:rsidR="002C5050">
        <w:rPr>
          <w:szCs w:val="24"/>
        </w:rPr>
        <w:t>LS</w:t>
      </w:r>
      <w:r w:rsidR="00FE55FE">
        <w:rPr>
          <w:szCs w:val="24"/>
        </w:rPr>
        <w:t xml:space="preserve"> take</w:t>
      </w:r>
      <w:r>
        <w:rPr>
          <w:szCs w:val="24"/>
        </w:rPr>
        <w:t xml:space="preserve"> up</w:t>
      </w:r>
      <w:r w:rsidR="00FE55FE">
        <w:rPr>
          <w:szCs w:val="24"/>
        </w:rPr>
        <w:t xml:space="preserve"> rate</w:t>
      </w:r>
      <w:r w:rsidR="0013677D">
        <w:rPr>
          <w:szCs w:val="24"/>
        </w:rPr>
        <w:t xml:space="preserve"> (30%</w:t>
      </w:r>
      <w:r>
        <w:rPr>
          <w:szCs w:val="24"/>
        </w:rPr>
        <w:t>)</w:t>
      </w:r>
      <w:r w:rsidR="0013677D">
        <w:rPr>
          <w:szCs w:val="24"/>
        </w:rPr>
        <w:t>)</w:t>
      </w:r>
      <w:r>
        <w:rPr>
          <w:szCs w:val="24"/>
        </w:rPr>
        <w:t xml:space="preserve"> multiplied by the existing pension payment (before</w:t>
      </w:r>
      <w:r w:rsidR="00FE55FE">
        <w:rPr>
          <w:szCs w:val="24"/>
        </w:rPr>
        <w:t xml:space="preserve"> the</w:t>
      </w:r>
      <w:r>
        <w:rPr>
          <w:szCs w:val="24"/>
        </w:rPr>
        <w:t xml:space="preserve"> LS </w:t>
      </w:r>
      <w:r w:rsidR="008F75EB">
        <w:rPr>
          <w:szCs w:val="24"/>
        </w:rPr>
        <w:t>proposal</w:t>
      </w:r>
      <w:r>
        <w:rPr>
          <w:szCs w:val="24"/>
        </w:rPr>
        <w:t>) for each year.</w:t>
      </w:r>
    </w:p>
    <w:p w14:paraId="03A8BDDD" w14:textId="77777777" w:rsidR="000F575A" w:rsidRDefault="000F575A" w:rsidP="000F575A">
      <w:pPr>
        <w:rPr>
          <w:rFonts w:eastAsia="Times New Roman" w:cs="Times New Roman"/>
          <w:szCs w:val="28"/>
        </w:rPr>
      </w:pPr>
    </w:p>
    <w:p w14:paraId="4C9EF414" w14:textId="77777777" w:rsidR="002C5050" w:rsidRPr="00E774DB" w:rsidRDefault="002C5050" w:rsidP="002C5050">
      <w:pPr>
        <w:rPr>
          <w:szCs w:val="24"/>
          <w:u w:val="single"/>
        </w:rPr>
      </w:pPr>
      <w:r w:rsidRPr="00E774DB">
        <w:rPr>
          <w:szCs w:val="24"/>
          <w:u w:val="single"/>
        </w:rPr>
        <w:t xml:space="preserve">Expected net present value of </w:t>
      </w:r>
      <w:r>
        <w:rPr>
          <w:szCs w:val="24"/>
          <w:u w:val="single"/>
        </w:rPr>
        <w:t>pension payments</w:t>
      </w:r>
      <w:r w:rsidRPr="00E774DB">
        <w:rPr>
          <w:szCs w:val="24"/>
          <w:u w:val="single"/>
        </w:rPr>
        <w:t xml:space="preserve"> after </w:t>
      </w:r>
      <w:r>
        <w:rPr>
          <w:szCs w:val="24"/>
          <w:u w:val="single"/>
        </w:rPr>
        <w:t>LS proposal</w:t>
      </w:r>
      <w:r w:rsidRPr="00E774DB">
        <w:rPr>
          <w:szCs w:val="24"/>
          <w:u w:val="single"/>
        </w:rPr>
        <w:t xml:space="preserve"> </w:t>
      </w:r>
    </w:p>
    <w:p w14:paraId="09067BAF" w14:textId="77777777" w:rsidR="002C5050" w:rsidRDefault="002C5050" w:rsidP="002C5050">
      <w:pPr>
        <w:rPr>
          <w:rFonts w:eastAsia="Times New Roman" w:cs="Times New Roman"/>
          <w:szCs w:val="28"/>
        </w:rPr>
      </w:pPr>
    </w:p>
    <w:p w14:paraId="37A1D147" w14:textId="00BB2E09" w:rsidR="002C5050" w:rsidRPr="005B71E7" w:rsidRDefault="002C5050" w:rsidP="002C5050">
      <w:pPr>
        <w:rPr>
          <w:szCs w:val="24"/>
        </w:rPr>
      </w:pPr>
      <w:r>
        <w:rPr>
          <w:rFonts w:eastAsia="Times New Roman" w:cs="Times New Roman"/>
          <w:szCs w:val="28"/>
        </w:rPr>
        <w:t>The expected net present value of the future pension payments after the LS proposal is calculated as at 1 January 2020 as the sum of the expected LS payments made at 1 January 2020 and the p</w:t>
      </w:r>
      <w:r w:rsidRPr="005B71E7">
        <w:rPr>
          <w:szCs w:val="24"/>
        </w:rPr>
        <w:t xml:space="preserve">resent value of </w:t>
      </w:r>
      <w:r>
        <w:rPr>
          <w:szCs w:val="24"/>
        </w:rPr>
        <w:t xml:space="preserve">the </w:t>
      </w:r>
      <w:r w:rsidRPr="005B71E7">
        <w:rPr>
          <w:szCs w:val="24"/>
        </w:rPr>
        <w:t xml:space="preserve">pension payment </w:t>
      </w:r>
      <w:r>
        <w:rPr>
          <w:szCs w:val="24"/>
        </w:rPr>
        <w:t>payments from 1 January 2021 onwards.</w:t>
      </w:r>
    </w:p>
    <w:p w14:paraId="42C82FD2" w14:textId="77777777" w:rsidR="00772D7E" w:rsidRDefault="00772D7E">
      <w:pPr>
        <w:rPr>
          <w:b/>
          <w:szCs w:val="24"/>
        </w:rPr>
      </w:pPr>
    </w:p>
    <w:p w14:paraId="34086E99" w14:textId="77777777" w:rsidR="00545F9A" w:rsidRDefault="00545F9A">
      <w:pPr>
        <w:rPr>
          <w:b/>
          <w:szCs w:val="24"/>
        </w:rPr>
      </w:pPr>
    </w:p>
    <w:p w14:paraId="4287C4C4" w14:textId="77777777" w:rsidR="00545F9A" w:rsidRDefault="00545F9A">
      <w:pPr>
        <w:rPr>
          <w:b/>
          <w:szCs w:val="24"/>
        </w:rPr>
      </w:pPr>
    </w:p>
    <w:p w14:paraId="6D945D3B" w14:textId="77777777" w:rsidR="00545F9A" w:rsidRDefault="00545F9A">
      <w:pPr>
        <w:rPr>
          <w:b/>
          <w:szCs w:val="24"/>
        </w:rPr>
      </w:pPr>
    </w:p>
    <w:p w14:paraId="6FC98BF4" w14:textId="77777777" w:rsidR="00545F9A" w:rsidRDefault="00545F9A">
      <w:pPr>
        <w:rPr>
          <w:b/>
          <w:szCs w:val="24"/>
        </w:rPr>
      </w:pPr>
    </w:p>
    <w:p w14:paraId="220B02A8" w14:textId="77777777" w:rsidR="00545F9A" w:rsidRDefault="00545F9A">
      <w:pPr>
        <w:rPr>
          <w:b/>
          <w:szCs w:val="24"/>
        </w:rPr>
      </w:pPr>
    </w:p>
    <w:p w14:paraId="1B71B9FB" w14:textId="77777777" w:rsidR="00545F9A" w:rsidRDefault="00545F9A">
      <w:pPr>
        <w:rPr>
          <w:b/>
          <w:szCs w:val="24"/>
        </w:rPr>
      </w:pPr>
    </w:p>
    <w:p w14:paraId="74F88894" w14:textId="77777777" w:rsidR="00545F9A" w:rsidRDefault="00545F9A">
      <w:pPr>
        <w:rPr>
          <w:b/>
          <w:szCs w:val="24"/>
        </w:rPr>
      </w:pPr>
    </w:p>
    <w:p w14:paraId="7D9C9105" w14:textId="77777777" w:rsidR="00545F9A" w:rsidRDefault="00545F9A">
      <w:pPr>
        <w:rPr>
          <w:b/>
          <w:szCs w:val="24"/>
        </w:rPr>
      </w:pPr>
    </w:p>
    <w:p w14:paraId="7A74655F" w14:textId="77777777" w:rsidR="00545F9A" w:rsidRDefault="00545F9A">
      <w:pPr>
        <w:rPr>
          <w:b/>
          <w:szCs w:val="24"/>
        </w:rPr>
      </w:pPr>
    </w:p>
    <w:p w14:paraId="5E61F7C1" w14:textId="77777777" w:rsidR="00545F9A" w:rsidRDefault="00545F9A">
      <w:pPr>
        <w:rPr>
          <w:b/>
          <w:szCs w:val="24"/>
        </w:rPr>
      </w:pPr>
    </w:p>
    <w:p w14:paraId="6F6A85E5" w14:textId="77777777" w:rsidR="00545F9A" w:rsidRDefault="00545F9A">
      <w:pPr>
        <w:rPr>
          <w:b/>
          <w:szCs w:val="24"/>
        </w:rPr>
      </w:pPr>
    </w:p>
    <w:p w14:paraId="649F99C6" w14:textId="77777777" w:rsidR="00545F9A" w:rsidRDefault="00545F9A">
      <w:pPr>
        <w:rPr>
          <w:b/>
          <w:szCs w:val="24"/>
        </w:rPr>
      </w:pPr>
    </w:p>
    <w:p w14:paraId="59DB3D3C" w14:textId="77777777" w:rsidR="00545F9A" w:rsidRDefault="00545F9A">
      <w:pPr>
        <w:rPr>
          <w:b/>
          <w:szCs w:val="24"/>
        </w:rPr>
      </w:pPr>
    </w:p>
    <w:p w14:paraId="4AC90DBF" w14:textId="77777777" w:rsidR="00545F9A" w:rsidRDefault="00545F9A">
      <w:pPr>
        <w:rPr>
          <w:b/>
          <w:szCs w:val="24"/>
        </w:rPr>
      </w:pPr>
    </w:p>
    <w:p w14:paraId="269B0C0D" w14:textId="77777777" w:rsidR="0097041E" w:rsidRDefault="0062601B">
      <w:pPr>
        <w:rPr>
          <w:rFonts w:eastAsia="Times New Roman" w:cs="Times New Roman"/>
          <w:b/>
          <w:sz w:val="28"/>
          <w:szCs w:val="28"/>
        </w:rPr>
      </w:pPr>
      <w:r w:rsidRPr="00F1301B">
        <w:rPr>
          <w:rFonts w:eastAsia="Times New Roman" w:cs="Times New Roman"/>
          <w:b/>
          <w:sz w:val="28"/>
          <w:szCs w:val="28"/>
        </w:rPr>
        <w:lastRenderedPageBreak/>
        <w:t>Results</w:t>
      </w:r>
    </w:p>
    <w:p w14:paraId="4154DFA5" w14:textId="77777777" w:rsidR="0097041E" w:rsidRDefault="0097041E">
      <w:pPr>
        <w:rPr>
          <w:rFonts w:eastAsia="Times New Roman" w:cs="Times New Roman"/>
          <w:b/>
          <w:sz w:val="28"/>
          <w:szCs w:val="28"/>
        </w:rPr>
      </w:pPr>
    </w:p>
    <w:p w14:paraId="6DCDAD43" w14:textId="42FA3571" w:rsidR="007341F0" w:rsidRDefault="0005199B" w:rsidP="0005199B">
      <w:pPr>
        <w:jc w:val="center"/>
        <w:rPr>
          <w:rFonts w:eastAsia="Times New Roman" w:cs="Times New Roman"/>
          <w:b/>
          <w:szCs w:val="28"/>
          <w:u w:val="single"/>
        </w:rPr>
      </w:pPr>
      <w:r>
        <w:rPr>
          <w:noProof/>
        </w:rPr>
        <w:drawing>
          <wp:inline distT="0" distB="0" distL="0" distR="0" wp14:anchorId="13E100C0" wp14:editId="07CD9562">
            <wp:extent cx="4476750" cy="23145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1323DF" w14:textId="77777777" w:rsidR="00A01854" w:rsidRPr="002C5050" w:rsidRDefault="00A01854" w:rsidP="00A01854">
      <w:pPr>
        <w:pStyle w:val="ListParagraph"/>
        <w:rPr>
          <w:szCs w:val="28"/>
          <w:highlight w:val="darkGray"/>
        </w:rPr>
      </w:pPr>
    </w:p>
    <w:p w14:paraId="1D1F26C6" w14:textId="4415F984" w:rsidR="00431465" w:rsidRPr="0084537E" w:rsidRDefault="00B07EE8">
      <w:pPr>
        <w:rPr>
          <w:rFonts w:eastAsia="Times New Roman" w:cs="Times New Roman"/>
          <w:szCs w:val="28"/>
        </w:rPr>
      </w:pPr>
      <w:r w:rsidRPr="0097041E">
        <w:rPr>
          <w:szCs w:val="24"/>
        </w:rPr>
        <w:t xml:space="preserve">There is a general increase </w:t>
      </w:r>
      <w:r w:rsidR="0097041E" w:rsidRPr="0097041E">
        <w:rPr>
          <w:szCs w:val="24"/>
        </w:rPr>
        <w:t xml:space="preserve">in average pension per individual </w:t>
      </w:r>
      <w:r w:rsidRPr="0097041E">
        <w:rPr>
          <w:szCs w:val="24"/>
        </w:rPr>
        <w:t>toward</w:t>
      </w:r>
      <w:r w:rsidR="0097041E">
        <w:rPr>
          <w:szCs w:val="24"/>
        </w:rPr>
        <w:t xml:space="preserve">s older ages. </w:t>
      </w:r>
      <w:r w:rsidR="00637504">
        <w:rPr>
          <w:szCs w:val="24"/>
        </w:rPr>
        <w:t>This could be explained by the fact</w:t>
      </w:r>
      <w:r w:rsidR="0097041E">
        <w:rPr>
          <w:szCs w:val="24"/>
        </w:rPr>
        <w:t xml:space="preserve"> that older previous employees </w:t>
      </w:r>
      <w:r w:rsidRPr="0097041E">
        <w:rPr>
          <w:szCs w:val="24"/>
        </w:rPr>
        <w:t>may have worked for Automake for longer and have achieved higher salaries. However there are some slight exceptions which could be due to the relatively small group sizes</w:t>
      </w:r>
    </w:p>
    <w:p w14:paraId="216D4524" w14:textId="77777777" w:rsidR="004B68A9" w:rsidRDefault="004B68A9">
      <w:pPr>
        <w:rPr>
          <w:rFonts w:eastAsia="Times New Roman" w:cs="Times New Roman"/>
          <w:b/>
          <w:szCs w:val="28"/>
        </w:rPr>
      </w:pPr>
    </w:p>
    <w:p w14:paraId="39102212" w14:textId="2FB317B7" w:rsidR="0005199B" w:rsidRDefault="003266DA">
      <w:pPr>
        <w:rPr>
          <w:rFonts w:eastAsia="Times New Roman" w:cs="Times New Roman"/>
          <w:b/>
          <w:szCs w:val="28"/>
        </w:rPr>
      </w:pPr>
      <w:r>
        <w:rPr>
          <w:rFonts w:eastAsia="Times New Roman" w:cs="Times New Roman"/>
          <w:b/>
          <w:szCs w:val="28"/>
        </w:rPr>
        <w:t xml:space="preserve">Cashflows with and without allowing for the Pension Increase </w:t>
      </w:r>
      <w:r w:rsidR="00734DC5">
        <w:rPr>
          <w:rFonts w:eastAsia="Times New Roman" w:cs="Times New Roman"/>
          <w:b/>
          <w:szCs w:val="28"/>
        </w:rPr>
        <w:t>Exchange proposal</w:t>
      </w:r>
    </w:p>
    <w:p w14:paraId="471B187F" w14:textId="77777777" w:rsidR="003266DA" w:rsidRDefault="003266DA">
      <w:pPr>
        <w:rPr>
          <w:rFonts w:eastAsia="Times New Roman" w:cs="Times New Roman"/>
          <w:szCs w:val="28"/>
        </w:rPr>
      </w:pPr>
    </w:p>
    <w:p w14:paraId="3DB1B613" w14:textId="57CB8111" w:rsidR="003266DA" w:rsidRDefault="003266DA" w:rsidP="003266DA">
      <w:pPr>
        <w:rPr>
          <w:rFonts w:eastAsia="Times New Roman" w:cs="Times New Roman"/>
          <w:szCs w:val="28"/>
        </w:rPr>
      </w:pPr>
      <w:r w:rsidRPr="005C02F3">
        <w:rPr>
          <w:rFonts w:eastAsia="Times New Roman" w:cs="Times New Roman"/>
          <w:szCs w:val="28"/>
        </w:rPr>
        <w:t>The following</w:t>
      </w:r>
      <w:r>
        <w:rPr>
          <w:rFonts w:eastAsia="Times New Roman" w:cs="Times New Roman"/>
          <w:szCs w:val="28"/>
        </w:rPr>
        <w:t xml:space="preserve"> graph shows the expected future pension payment cashflows on the existing pension and after allowing for the PIE proposal for all members. </w:t>
      </w:r>
    </w:p>
    <w:p w14:paraId="75879D1F" w14:textId="77777777" w:rsidR="003266DA" w:rsidRDefault="003266DA">
      <w:pPr>
        <w:rPr>
          <w:rFonts w:eastAsia="Times New Roman" w:cs="Times New Roman"/>
          <w:b/>
          <w:szCs w:val="28"/>
        </w:rPr>
      </w:pPr>
    </w:p>
    <w:p w14:paraId="1836AC60" w14:textId="77777777" w:rsidR="003266DA" w:rsidRDefault="003266DA">
      <w:pPr>
        <w:rPr>
          <w:rFonts w:eastAsia="Times New Roman" w:cs="Times New Roman"/>
          <w:b/>
          <w:szCs w:val="28"/>
        </w:rPr>
      </w:pPr>
      <w:r>
        <w:rPr>
          <w:noProof/>
        </w:rPr>
        <w:drawing>
          <wp:inline distT="0" distB="0" distL="0" distR="0" wp14:anchorId="2ADECC93" wp14:editId="2FEB54B7">
            <wp:extent cx="5731510" cy="2592070"/>
            <wp:effectExtent l="0" t="0" r="2540" b="177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40F9C45" w14:textId="5E6E7ED9" w:rsidR="003266DA" w:rsidRDefault="003266DA">
      <w:pPr>
        <w:rPr>
          <w:rFonts w:eastAsia="Times New Roman" w:cs="Times New Roman"/>
          <w:b/>
          <w:szCs w:val="28"/>
        </w:rPr>
      </w:pPr>
    </w:p>
    <w:p w14:paraId="50053468" w14:textId="72B850FF" w:rsidR="003266DA" w:rsidRPr="003266DA" w:rsidRDefault="003266DA">
      <w:pPr>
        <w:rPr>
          <w:rFonts w:eastAsia="Times New Roman" w:cs="Times New Roman"/>
          <w:szCs w:val="28"/>
        </w:rPr>
      </w:pPr>
      <w:r w:rsidRPr="003266DA">
        <w:rPr>
          <w:rFonts w:eastAsia="Times New Roman" w:cs="Times New Roman"/>
          <w:szCs w:val="28"/>
        </w:rPr>
        <w:t>From the graph we can see that:</w:t>
      </w:r>
    </w:p>
    <w:p w14:paraId="266E6F46" w14:textId="2AE21235" w:rsidR="003266DA" w:rsidRDefault="003266DA" w:rsidP="003266DA">
      <w:pPr>
        <w:pStyle w:val="ListParagraph"/>
        <w:numPr>
          <w:ilvl w:val="0"/>
          <w:numId w:val="40"/>
        </w:numPr>
        <w:rPr>
          <w:szCs w:val="28"/>
        </w:rPr>
      </w:pPr>
      <w:r w:rsidRPr="003266DA">
        <w:rPr>
          <w:szCs w:val="28"/>
        </w:rPr>
        <w:t>The cashflows start at a similar level</w:t>
      </w:r>
      <w:r w:rsidR="00465B52">
        <w:rPr>
          <w:szCs w:val="28"/>
        </w:rPr>
        <w:t>.  This is because only a small proportion of the individuals start to receive a pension in 2021 and therefore the difference in pension amounts is less pronounced.</w:t>
      </w:r>
    </w:p>
    <w:p w14:paraId="529ED529" w14:textId="767EC674" w:rsidR="003266DA" w:rsidRDefault="003266DA" w:rsidP="003266DA">
      <w:pPr>
        <w:pStyle w:val="ListParagraph"/>
        <w:numPr>
          <w:ilvl w:val="0"/>
          <w:numId w:val="40"/>
        </w:numPr>
        <w:rPr>
          <w:szCs w:val="28"/>
        </w:rPr>
      </w:pPr>
      <w:r>
        <w:rPr>
          <w:szCs w:val="28"/>
        </w:rPr>
        <w:t>The cash</w:t>
      </w:r>
      <w:r w:rsidR="00465B52">
        <w:rPr>
          <w:szCs w:val="28"/>
        </w:rPr>
        <w:t>flows end at a similar level.  Similarly, t</w:t>
      </w:r>
      <w:r>
        <w:rPr>
          <w:szCs w:val="28"/>
        </w:rPr>
        <w:t xml:space="preserve">his is because </w:t>
      </w:r>
      <w:r w:rsidR="00465B52">
        <w:rPr>
          <w:szCs w:val="28"/>
        </w:rPr>
        <w:t>there are relatively few individuals still receiving a pension in 2054 and hence the absolute difference is less pronounced.</w:t>
      </w:r>
    </w:p>
    <w:p w14:paraId="2463ACC0" w14:textId="452C0275" w:rsidR="00465B52" w:rsidRDefault="00465B52" w:rsidP="003266DA">
      <w:pPr>
        <w:pStyle w:val="ListParagraph"/>
        <w:numPr>
          <w:ilvl w:val="0"/>
          <w:numId w:val="40"/>
        </w:numPr>
        <w:rPr>
          <w:szCs w:val="28"/>
        </w:rPr>
      </w:pPr>
      <w:r>
        <w:rPr>
          <w:szCs w:val="28"/>
        </w:rPr>
        <w:lastRenderedPageBreak/>
        <w:t xml:space="preserve">The PIE proposal cashflows increase year on year as more individuals start receiving a pension.  The effect of </w:t>
      </w:r>
      <w:r w:rsidR="00E77BD5">
        <w:rPr>
          <w:szCs w:val="28"/>
        </w:rPr>
        <w:t xml:space="preserve">the </w:t>
      </w:r>
      <w:r>
        <w:rPr>
          <w:szCs w:val="28"/>
        </w:rPr>
        <w:t xml:space="preserve">additional pensions coming into payment is more substantial than the pension increases that the existing pensions </w:t>
      </w:r>
      <w:r w:rsidR="00E77BD5">
        <w:rPr>
          <w:szCs w:val="28"/>
        </w:rPr>
        <w:t>receive</w:t>
      </w:r>
      <w:r>
        <w:rPr>
          <w:szCs w:val="28"/>
        </w:rPr>
        <w:t>.</w:t>
      </w:r>
    </w:p>
    <w:p w14:paraId="21D29046" w14:textId="77777777" w:rsidR="00465B52" w:rsidRDefault="00465B52" w:rsidP="003266DA">
      <w:pPr>
        <w:pStyle w:val="ListParagraph"/>
        <w:numPr>
          <w:ilvl w:val="0"/>
          <w:numId w:val="40"/>
        </w:numPr>
        <w:rPr>
          <w:szCs w:val="28"/>
        </w:rPr>
      </w:pPr>
      <w:r>
        <w:rPr>
          <w:szCs w:val="28"/>
        </w:rPr>
        <w:t>In 2030 the final individuals begin to receive their pensions.  After that date the PIE proposal cashflows are flat.  This is because they do not receive any pension increases.  Whereas the existing cashflows continue to increase as pension increases are granted.</w:t>
      </w:r>
    </w:p>
    <w:p w14:paraId="76355159" w14:textId="46684E12" w:rsidR="00465B52" w:rsidRPr="003266DA" w:rsidRDefault="00465B52" w:rsidP="003266DA">
      <w:pPr>
        <w:pStyle w:val="ListParagraph"/>
        <w:numPr>
          <w:ilvl w:val="0"/>
          <w:numId w:val="40"/>
        </w:numPr>
        <w:rPr>
          <w:szCs w:val="28"/>
        </w:rPr>
      </w:pPr>
      <w:r>
        <w:rPr>
          <w:szCs w:val="28"/>
        </w:rPr>
        <w:t xml:space="preserve">As individuals start to die the cashflows start to diminish. Once again we can see that the PIE proposal cashflows are flat in the years where no one is assumed to die, whereas the existing cashflows increase again. </w:t>
      </w:r>
    </w:p>
    <w:p w14:paraId="6E41DD14" w14:textId="77777777" w:rsidR="003266DA" w:rsidRPr="003266DA" w:rsidRDefault="003266DA">
      <w:pPr>
        <w:rPr>
          <w:rFonts w:eastAsia="Times New Roman" w:cs="Times New Roman"/>
          <w:szCs w:val="28"/>
        </w:rPr>
      </w:pPr>
    </w:p>
    <w:p w14:paraId="75AFA625" w14:textId="77777777" w:rsidR="003266DA" w:rsidRPr="003266DA" w:rsidRDefault="003266DA">
      <w:pPr>
        <w:rPr>
          <w:rFonts w:eastAsia="Times New Roman" w:cs="Times New Roman"/>
          <w:szCs w:val="28"/>
        </w:rPr>
      </w:pPr>
    </w:p>
    <w:p w14:paraId="643008DC" w14:textId="047FACE1" w:rsidR="005C02F3" w:rsidRPr="005C02F3" w:rsidRDefault="001E46A5">
      <w:pPr>
        <w:rPr>
          <w:rFonts w:eastAsia="Times New Roman" w:cs="Times New Roman"/>
          <w:b/>
          <w:szCs w:val="28"/>
        </w:rPr>
      </w:pPr>
      <w:r>
        <w:rPr>
          <w:rFonts w:eastAsia="Times New Roman" w:cs="Times New Roman"/>
          <w:b/>
          <w:szCs w:val="28"/>
        </w:rPr>
        <w:t>Expected present value of pension payments</w:t>
      </w:r>
    </w:p>
    <w:p w14:paraId="178DB48D" w14:textId="77777777" w:rsidR="005C02F3" w:rsidRDefault="005C02F3">
      <w:pPr>
        <w:rPr>
          <w:rFonts w:eastAsia="Times New Roman" w:cs="Times New Roman"/>
          <w:szCs w:val="28"/>
        </w:rPr>
      </w:pPr>
    </w:p>
    <w:p w14:paraId="3D627CB6" w14:textId="0E244551" w:rsidR="001E46A5" w:rsidRDefault="005C02F3">
      <w:pPr>
        <w:rPr>
          <w:rFonts w:eastAsia="Times New Roman" w:cs="Times New Roman"/>
          <w:szCs w:val="28"/>
        </w:rPr>
      </w:pPr>
      <w:r w:rsidRPr="005C02F3">
        <w:rPr>
          <w:rFonts w:eastAsia="Times New Roman" w:cs="Times New Roman"/>
          <w:szCs w:val="28"/>
        </w:rPr>
        <w:t>The following</w:t>
      </w:r>
      <w:r>
        <w:rPr>
          <w:rFonts w:eastAsia="Times New Roman" w:cs="Times New Roman"/>
          <w:szCs w:val="28"/>
        </w:rPr>
        <w:t xml:space="preserve"> graph </w:t>
      </w:r>
      <w:r w:rsidR="001E46A5">
        <w:rPr>
          <w:rFonts w:eastAsia="Times New Roman" w:cs="Times New Roman"/>
          <w:szCs w:val="28"/>
        </w:rPr>
        <w:t>shows the expected present value of pension pa</w:t>
      </w:r>
      <w:r w:rsidR="00B946D0">
        <w:rPr>
          <w:rFonts w:eastAsia="Times New Roman" w:cs="Times New Roman"/>
          <w:szCs w:val="28"/>
        </w:rPr>
        <w:t>yments for the existing pension payments</w:t>
      </w:r>
      <w:r w:rsidR="001E46A5">
        <w:rPr>
          <w:rFonts w:eastAsia="Times New Roman" w:cs="Times New Roman"/>
          <w:szCs w:val="28"/>
        </w:rPr>
        <w:t>, pension</w:t>
      </w:r>
      <w:r w:rsidR="00B946D0">
        <w:rPr>
          <w:rFonts w:eastAsia="Times New Roman" w:cs="Times New Roman"/>
          <w:szCs w:val="28"/>
        </w:rPr>
        <w:t xml:space="preserve"> payments</w:t>
      </w:r>
      <w:r w:rsidR="001E46A5">
        <w:rPr>
          <w:rFonts w:eastAsia="Times New Roman" w:cs="Times New Roman"/>
          <w:szCs w:val="28"/>
        </w:rPr>
        <w:t xml:space="preserve"> after the PIE </w:t>
      </w:r>
      <w:r w:rsidR="0097041E">
        <w:rPr>
          <w:rFonts w:eastAsia="Times New Roman" w:cs="Times New Roman"/>
          <w:szCs w:val="28"/>
        </w:rPr>
        <w:t>proposal</w:t>
      </w:r>
      <w:r w:rsidR="001E46A5">
        <w:rPr>
          <w:rFonts w:eastAsia="Times New Roman" w:cs="Times New Roman"/>
          <w:szCs w:val="28"/>
        </w:rPr>
        <w:t xml:space="preserve"> and p</w:t>
      </w:r>
      <w:r w:rsidR="00B946D0">
        <w:rPr>
          <w:rFonts w:eastAsia="Times New Roman" w:cs="Times New Roman"/>
          <w:szCs w:val="28"/>
        </w:rPr>
        <w:t>ension payments</w:t>
      </w:r>
      <w:r w:rsidR="001E46A5">
        <w:rPr>
          <w:rFonts w:eastAsia="Times New Roman" w:cs="Times New Roman"/>
          <w:szCs w:val="28"/>
        </w:rPr>
        <w:t xml:space="preserve"> after the </w:t>
      </w:r>
      <w:r w:rsidR="0097041E">
        <w:rPr>
          <w:rFonts w:eastAsia="Times New Roman" w:cs="Times New Roman"/>
          <w:szCs w:val="28"/>
        </w:rPr>
        <w:t>LS</w:t>
      </w:r>
      <w:r w:rsidR="001E46A5">
        <w:rPr>
          <w:rFonts w:eastAsia="Times New Roman" w:cs="Times New Roman"/>
          <w:szCs w:val="28"/>
        </w:rPr>
        <w:t xml:space="preserve"> </w:t>
      </w:r>
      <w:r w:rsidR="0097041E">
        <w:rPr>
          <w:rFonts w:eastAsia="Times New Roman" w:cs="Times New Roman"/>
          <w:szCs w:val="28"/>
        </w:rPr>
        <w:t>proposal</w:t>
      </w:r>
      <w:r w:rsidR="001E46A5">
        <w:rPr>
          <w:rFonts w:eastAsia="Times New Roman" w:cs="Times New Roman"/>
          <w:szCs w:val="28"/>
        </w:rPr>
        <w:t>:</w:t>
      </w:r>
    </w:p>
    <w:p w14:paraId="137EFF24" w14:textId="06573939" w:rsidR="005C02F3" w:rsidRDefault="001E46A5">
      <w:pPr>
        <w:rPr>
          <w:rFonts w:eastAsia="Times New Roman" w:cs="Times New Roman"/>
          <w:szCs w:val="28"/>
        </w:rPr>
      </w:pPr>
      <w:r>
        <w:rPr>
          <w:rFonts w:eastAsia="Times New Roman" w:cs="Times New Roman"/>
          <w:szCs w:val="28"/>
        </w:rPr>
        <w:t xml:space="preserve"> </w:t>
      </w:r>
    </w:p>
    <w:p w14:paraId="63130814" w14:textId="736B46D1" w:rsidR="005C02F3" w:rsidRDefault="0097041E" w:rsidP="00CD0C30">
      <w:pPr>
        <w:jc w:val="center"/>
        <w:rPr>
          <w:rFonts w:eastAsia="Times New Roman" w:cs="Times New Roman"/>
          <w:szCs w:val="28"/>
        </w:rPr>
      </w:pPr>
      <w:r>
        <w:rPr>
          <w:rFonts w:eastAsia="Times New Roman" w:cs="Times New Roman"/>
          <w:noProof/>
          <w:szCs w:val="28"/>
        </w:rPr>
        <w:drawing>
          <wp:inline distT="0" distB="0" distL="0" distR="0" wp14:anchorId="4CFC54A6" wp14:editId="4A428198">
            <wp:extent cx="3482502" cy="1827675"/>
            <wp:effectExtent l="0" t="0" r="381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82502" cy="1827675"/>
                    </a:xfrm>
                    <a:prstGeom prst="rect">
                      <a:avLst/>
                    </a:prstGeom>
                    <a:noFill/>
                  </pic:spPr>
                </pic:pic>
              </a:graphicData>
            </a:graphic>
          </wp:inline>
        </w:drawing>
      </w:r>
    </w:p>
    <w:p w14:paraId="25C8B1D6" w14:textId="77777777" w:rsidR="005C02F3" w:rsidRDefault="005C02F3">
      <w:pPr>
        <w:rPr>
          <w:rFonts w:eastAsia="Times New Roman" w:cs="Times New Roman"/>
          <w:szCs w:val="28"/>
        </w:rPr>
      </w:pPr>
    </w:p>
    <w:p w14:paraId="281231AF" w14:textId="77777777" w:rsidR="00382706" w:rsidRDefault="00382706">
      <w:pPr>
        <w:rPr>
          <w:rFonts w:eastAsia="Times New Roman" w:cs="Times New Roman"/>
          <w:szCs w:val="28"/>
        </w:rPr>
      </w:pPr>
      <w:r>
        <w:rPr>
          <w:rFonts w:eastAsia="Times New Roman" w:cs="Times New Roman"/>
          <w:szCs w:val="28"/>
        </w:rPr>
        <w:t>We can see from the graph that:</w:t>
      </w:r>
    </w:p>
    <w:p w14:paraId="6385C365" w14:textId="77777777" w:rsidR="00382706" w:rsidRDefault="00382706" w:rsidP="00382706">
      <w:pPr>
        <w:pStyle w:val="ListParagraph"/>
        <w:rPr>
          <w:szCs w:val="28"/>
        </w:rPr>
      </w:pPr>
    </w:p>
    <w:p w14:paraId="33BE2347" w14:textId="2F4E0359" w:rsidR="00382706" w:rsidRDefault="00B946D0" w:rsidP="00382706">
      <w:pPr>
        <w:pStyle w:val="ListParagraph"/>
        <w:numPr>
          <w:ilvl w:val="0"/>
          <w:numId w:val="42"/>
        </w:numPr>
        <w:rPr>
          <w:szCs w:val="28"/>
        </w:rPr>
      </w:pPr>
      <w:r w:rsidRPr="00382706">
        <w:rPr>
          <w:szCs w:val="28"/>
        </w:rPr>
        <w:t>The PV of the expected existing pension payments is equal to the PV of the expected pension payments after the PIE pro</w:t>
      </w:r>
      <w:r w:rsidR="0097041E">
        <w:rPr>
          <w:szCs w:val="28"/>
        </w:rPr>
        <w:t>posal</w:t>
      </w:r>
      <w:r w:rsidRPr="00382706">
        <w:rPr>
          <w:szCs w:val="28"/>
        </w:rPr>
        <w:t>. Both have a PV of $</w:t>
      </w:r>
      <w:r w:rsidR="0097041E">
        <w:rPr>
          <w:szCs w:val="28"/>
        </w:rPr>
        <w:t>32,403</w:t>
      </w:r>
      <w:r w:rsidR="00CD0C30">
        <w:rPr>
          <w:szCs w:val="28"/>
        </w:rPr>
        <w:t>k</w:t>
      </w:r>
      <w:r w:rsidRPr="00382706">
        <w:rPr>
          <w:szCs w:val="28"/>
        </w:rPr>
        <w:t xml:space="preserve">.  The PVs are the same because the pension payments offered under the PIE </w:t>
      </w:r>
      <w:r w:rsidR="008F75EB">
        <w:rPr>
          <w:szCs w:val="28"/>
        </w:rPr>
        <w:t>proposal</w:t>
      </w:r>
      <w:r w:rsidRPr="00382706">
        <w:rPr>
          <w:szCs w:val="28"/>
        </w:rPr>
        <w:t xml:space="preserve"> were calculated in order to give a PV equal to the existing pension payments.</w:t>
      </w:r>
    </w:p>
    <w:p w14:paraId="0B9B6531" w14:textId="77777777" w:rsidR="00382706" w:rsidRDefault="00382706" w:rsidP="00382706">
      <w:pPr>
        <w:pStyle w:val="ListParagraph"/>
        <w:rPr>
          <w:szCs w:val="28"/>
        </w:rPr>
      </w:pPr>
    </w:p>
    <w:p w14:paraId="355994A3" w14:textId="639721BA" w:rsidR="00B946D0" w:rsidRDefault="00B946D0" w:rsidP="00382706">
      <w:pPr>
        <w:pStyle w:val="ListParagraph"/>
        <w:numPr>
          <w:ilvl w:val="0"/>
          <w:numId w:val="42"/>
        </w:numPr>
        <w:rPr>
          <w:szCs w:val="28"/>
        </w:rPr>
      </w:pPr>
      <w:r w:rsidRPr="00382706">
        <w:rPr>
          <w:szCs w:val="28"/>
        </w:rPr>
        <w:t xml:space="preserve">The PV of the expected pension payments </w:t>
      </w:r>
      <w:r w:rsidR="00CD0C30">
        <w:rPr>
          <w:szCs w:val="28"/>
        </w:rPr>
        <w:t xml:space="preserve">after </w:t>
      </w:r>
      <w:r w:rsidR="0097041E">
        <w:rPr>
          <w:szCs w:val="28"/>
        </w:rPr>
        <w:t>the LS proposal is $33,375</w:t>
      </w:r>
      <w:r w:rsidRPr="00382706">
        <w:rPr>
          <w:szCs w:val="28"/>
        </w:rPr>
        <w:t xml:space="preserve"> which is higher than that of the</w:t>
      </w:r>
      <w:r w:rsidR="00955377">
        <w:rPr>
          <w:szCs w:val="28"/>
        </w:rPr>
        <w:t xml:space="preserve"> existing and PIE scenarios. The</w:t>
      </w:r>
      <w:r w:rsidRPr="00382706">
        <w:rPr>
          <w:szCs w:val="28"/>
        </w:rPr>
        <w:t xml:space="preserve"> </w:t>
      </w:r>
      <w:r w:rsidR="0097041E">
        <w:rPr>
          <w:szCs w:val="28"/>
        </w:rPr>
        <w:t>LS</w:t>
      </w:r>
      <w:r w:rsidRPr="00382706">
        <w:rPr>
          <w:szCs w:val="28"/>
        </w:rPr>
        <w:t xml:space="preserve"> </w:t>
      </w:r>
      <w:r w:rsidR="00955377">
        <w:rPr>
          <w:szCs w:val="28"/>
        </w:rPr>
        <w:t>payments offered are</w:t>
      </w:r>
      <w:r w:rsidRPr="00382706">
        <w:rPr>
          <w:szCs w:val="28"/>
        </w:rPr>
        <w:t xml:space="preserve"> </w:t>
      </w:r>
      <w:r w:rsidR="00382706" w:rsidRPr="00382706">
        <w:rPr>
          <w:szCs w:val="28"/>
        </w:rPr>
        <w:t>calculated to give the same expe</w:t>
      </w:r>
      <w:r w:rsidR="00955377">
        <w:rPr>
          <w:szCs w:val="28"/>
        </w:rPr>
        <w:t>cted PV as the existing scenario but are</w:t>
      </w:r>
      <w:r w:rsidR="00382706" w:rsidRPr="00382706">
        <w:rPr>
          <w:szCs w:val="28"/>
        </w:rPr>
        <w:t xml:space="preserve"> then given an uplift of 10% </w:t>
      </w:r>
      <w:r w:rsidR="00955377">
        <w:rPr>
          <w:szCs w:val="28"/>
        </w:rPr>
        <w:t>so the PV</w:t>
      </w:r>
      <w:r w:rsidR="00382706" w:rsidRPr="00382706">
        <w:rPr>
          <w:szCs w:val="28"/>
        </w:rPr>
        <w:t xml:space="preserve"> </w:t>
      </w:r>
      <w:r w:rsidR="00955377">
        <w:rPr>
          <w:szCs w:val="28"/>
        </w:rPr>
        <w:t xml:space="preserve">after the </w:t>
      </w:r>
      <w:r w:rsidR="0097041E">
        <w:rPr>
          <w:szCs w:val="28"/>
        </w:rPr>
        <w:t>LS</w:t>
      </w:r>
      <w:r w:rsidR="00955377" w:rsidRPr="00382706">
        <w:rPr>
          <w:szCs w:val="28"/>
        </w:rPr>
        <w:t xml:space="preserve"> </w:t>
      </w:r>
      <w:r w:rsidR="0097041E">
        <w:rPr>
          <w:szCs w:val="28"/>
        </w:rPr>
        <w:t>proposal</w:t>
      </w:r>
      <w:r w:rsidR="00955377">
        <w:rPr>
          <w:szCs w:val="28"/>
        </w:rPr>
        <w:t xml:space="preserve"> is greater than the </w:t>
      </w:r>
      <w:r w:rsidR="00382706" w:rsidRPr="00382706">
        <w:rPr>
          <w:szCs w:val="28"/>
        </w:rPr>
        <w:t xml:space="preserve">existing PV. </w:t>
      </w:r>
      <w:r w:rsidRPr="00382706">
        <w:rPr>
          <w:szCs w:val="28"/>
        </w:rPr>
        <w:t xml:space="preserve"> </w:t>
      </w:r>
    </w:p>
    <w:p w14:paraId="7DF0173B" w14:textId="77777777" w:rsidR="00382706" w:rsidRPr="00382706" w:rsidRDefault="00382706" w:rsidP="00382706">
      <w:pPr>
        <w:pStyle w:val="ListParagraph"/>
        <w:rPr>
          <w:szCs w:val="28"/>
        </w:rPr>
      </w:pPr>
    </w:p>
    <w:p w14:paraId="1DA5D52E" w14:textId="2B5C7AB2" w:rsidR="00382706" w:rsidRDefault="00382706" w:rsidP="00382706">
      <w:pPr>
        <w:pStyle w:val="ListParagraph"/>
        <w:numPr>
          <w:ilvl w:val="0"/>
          <w:numId w:val="42"/>
        </w:numPr>
        <w:rPr>
          <w:szCs w:val="28"/>
        </w:rPr>
      </w:pPr>
      <w:r>
        <w:rPr>
          <w:szCs w:val="28"/>
        </w:rPr>
        <w:t xml:space="preserve">The difference between the existing PV and the PV after </w:t>
      </w:r>
      <w:r w:rsidR="0097041E">
        <w:rPr>
          <w:szCs w:val="28"/>
        </w:rPr>
        <w:t>LS</w:t>
      </w:r>
      <w:r>
        <w:rPr>
          <w:szCs w:val="28"/>
        </w:rPr>
        <w:t xml:space="preserve"> is equal to the existing PV multiplied by the </w:t>
      </w:r>
      <w:r w:rsidR="0097041E">
        <w:rPr>
          <w:szCs w:val="28"/>
        </w:rPr>
        <w:t>LS</w:t>
      </w:r>
      <w:r>
        <w:rPr>
          <w:szCs w:val="28"/>
        </w:rPr>
        <w:t xml:space="preserve"> take up rate multiplied by the ETV enhancement %.</w:t>
      </w:r>
    </w:p>
    <w:p w14:paraId="2B257BBD" w14:textId="77777777" w:rsidR="00382706" w:rsidRPr="00382706" w:rsidRDefault="00382706" w:rsidP="00382706">
      <w:pPr>
        <w:pStyle w:val="ListParagraph"/>
        <w:rPr>
          <w:szCs w:val="28"/>
        </w:rPr>
      </w:pPr>
    </w:p>
    <w:p w14:paraId="6A66B6FC" w14:textId="6B2DB7C4" w:rsidR="00382706" w:rsidRDefault="0097041E" w:rsidP="00382706">
      <w:pPr>
        <w:pStyle w:val="ListParagraph"/>
        <w:rPr>
          <w:szCs w:val="28"/>
        </w:rPr>
      </w:pPr>
      <w:r>
        <w:rPr>
          <w:szCs w:val="28"/>
        </w:rPr>
        <w:t>(32,403</w:t>
      </w:r>
      <w:r w:rsidR="006B216C">
        <w:rPr>
          <w:szCs w:val="28"/>
        </w:rPr>
        <w:t xml:space="preserve"> x </w:t>
      </w:r>
      <w:r w:rsidR="00A7478F">
        <w:rPr>
          <w:szCs w:val="28"/>
        </w:rPr>
        <w:t>0.3 x 0.1) = 33,403 –32,375</w:t>
      </w:r>
      <w:r w:rsidR="006B216C">
        <w:rPr>
          <w:szCs w:val="28"/>
        </w:rPr>
        <w:t xml:space="preserve"> = </w:t>
      </w:r>
      <w:r w:rsidR="00A7478F">
        <w:rPr>
          <w:szCs w:val="28"/>
        </w:rPr>
        <w:t>972</w:t>
      </w:r>
    </w:p>
    <w:p w14:paraId="423A7CB9" w14:textId="77777777" w:rsidR="00E03445" w:rsidRPr="00382706" w:rsidRDefault="00E03445" w:rsidP="00382706">
      <w:pPr>
        <w:pStyle w:val="ListParagraph"/>
        <w:rPr>
          <w:szCs w:val="28"/>
        </w:rPr>
      </w:pPr>
    </w:p>
    <w:p w14:paraId="08DDC35F" w14:textId="77777777" w:rsidR="00B946D0" w:rsidRDefault="00B946D0">
      <w:pPr>
        <w:rPr>
          <w:rFonts w:eastAsia="Times New Roman" w:cs="Times New Roman"/>
          <w:szCs w:val="28"/>
        </w:rPr>
      </w:pPr>
    </w:p>
    <w:p w14:paraId="04A19BC7" w14:textId="77777777" w:rsidR="00734DC5" w:rsidRDefault="00734DC5">
      <w:pPr>
        <w:rPr>
          <w:rFonts w:eastAsia="Times New Roman" w:cs="Times New Roman"/>
          <w:szCs w:val="28"/>
        </w:rPr>
      </w:pPr>
    </w:p>
    <w:p w14:paraId="21D0C6BA" w14:textId="44E85623" w:rsidR="005C02F3" w:rsidRDefault="003179F9">
      <w:pPr>
        <w:rPr>
          <w:rFonts w:eastAsia="Times New Roman" w:cs="Times New Roman"/>
          <w:b/>
          <w:szCs w:val="28"/>
        </w:rPr>
      </w:pPr>
      <w:r>
        <w:rPr>
          <w:rFonts w:eastAsia="Times New Roman" w:cs="Times New Roman"/>
          <w:b/>
          <w:szCs w:val="28"/>
        </w:rPr>
        <w:lastRenderedPageBreak/>
        <w:t>Future pension payment cashflows</w:t>
      </w:r>
    </w:p>
    <w:p w14:paraId="41AA7F74" w14:textId="77777777" w:rsidR="003179F9" w:rsidRPr="005C02F3" w:rsidRDefault="003179F9">
      <w:pPr>
        <w:rPr>
          <w:rFonts w:eastAsia="Times New Roman" w:cs="Times New Roman"/>
          <w:b/>
          <w:szCs w:val="28"/>
        </w:rPr>
      </w:pPr>
    </w:p>
    <w:p w14:paraId="0A0EBAF5" w14:textId="3F25458B" w:rsidR="005C02F3" w:rsidRDefault="003179F9">
      <w:pPr>
        <w:rPr>
          <w:rFonts w:eastAsia="Times New Roman" w:cs="Times New Roman"/>
          <w:szCs w:val="28"/>
        </w:rPr>
      </w:pPr>
      <w:r w:rsidRPr="005C02F3">
        <w:rPr>
          <w:rFonts w:eastAsia="Times New Roman" w:cs="Times New Roman"/>
          <w:szCs w:val="28"/>
        </w:rPr>
        <w:t>The following</w:t>
      </w:r>
      <w:r>
        <w:rPr>
          <w:rFonts w:eastAsia="Times New Roman" w:cs="Times New Roman"/>
          <w:szCs w:val="28"/>
        </w:rPr>
        <w:t xml:space="preserve"> graph shows the expected future pension payment cashflows on the existing pension, after the PIE </w:t>
      </w:r>
      <w:r w:rsidR="00A7478F">
        <w:rPr>
          <w:rFonts w:eastAsia="Times New Roman" w:cs="Times New Roman"/>
          <w:szCs w:val="28"/>
        </w:rPr>
        <w:t>proposal</w:t>
      </w:r>
      <w:r>
        <w:rPr>
          <w:rFonts w:eastAsia="Times New Roman" w:cs="Times New Roman"/>
          <w:szCs w:val="28"/>
        </w:rPr>
        <w:t xml:space="preserve"> and after the </w:t>
      </w:r>
      <w:r w:rsidR="00A7478F">
        <w:rPr>
          <w:rFonts w:eastAsia="Times New Roman" w:cs="Times New Roman"/>
          <w:szCs w:val="28"/>
        </w:rPr>
        <w:t>LS proposal</w:t>
      </w:r>
      <w:r>
        <w:rPr>
          <w:rFonts w:eastAsia="Times New Roman" w:cs="Times New Roman"/>
          <w:szCs w:val="28"/>
        </w:rPr>
        <w:t xml:space="preserve">. </w:t>
      </w:r>
    </w:p>
    <w:p w14:paraId="49D30933" w14:textId="77777777" w:rsidR="00A7478F" w:rsidRDefault="00A7478F">
      <w:pPr>
        <w:rPr>
          <w:rFonts w:eastAsia="Times New Roman" w:cs="Times New Roman"/>
          <w:szCs w:val="28"/>
        </w:rPr>
      </w:pPr>
    </w:p>
    <w:p w14:paraId="20452C7D" w14:textId="6EDCE341" w:rsidR="003179F9" w:rsidRDefault="00A7478F" w:rsidP="00CD0C30">
      <w:pPr>
        <w:jc w:val="center"/>
        <w:rPr>
          <w:rFonts w:eastAsia="Times New Roman" w:cs="Times New Roman"/>
          <w:b/>
          <w:szCs w:val="28"/>
        </w:rPr>
      </w:pPr>
      <w:r>
        <w:rPr>
          <w:rFonts w:eastAsia="Times New Roman" w:cs="Times New Roman"/>
          <w:b/>
          <w:noProof/>
          <w:szCs w:val="28"/>
        </w:rPr>
        <w:drawing>
          <wp:inline distT="0" distB="0" distL="0" distR="0" wp14:anchorId="637CF228" wp14:editId="1D49AB33">
            <wp:extent cx="4865916" cy="2838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65916" cy="2838450"/>
                    </a:xfrm>
                    <a:prstGeom prst="rect">
                      <a:avLst/>
                    </a:prstGeom>
                    <a:noFill/>
                  </pic:spPr>
                </pic:pic>
              </a:graphicData>
            </a:graphic>
          </wp:inline>
        </w:drawing>
      </w:r>
    </w:p>
    <w:p w14:paraId="4EFDF767" w14:textId="19920E2C" w:rsidR="006F661E" w:rsidRDefault="006F661E" w:rsidP="00A01854">
      <w:pPr>
        <w:jc w:val="center"/>
        <w:rPr>
          <w:rFonts w:eastAsia="Times New Roman" w:cs="Times New Roman"/>
          <w:b/>
          <w:szCs w:val="28"/>
        </w:rPr>
      </w:pPr>
    </w:p>
    <w:p w14:paraId="0A06125D" w14:textId="44672629" w:rsidR="00A167BA" w:rsidRPr="00A167BA" w:rsidRDefault="00A167BA" w:rsidP="00A167BA">
      <w:pPr>
        <w:rPr>
          <w:rFonts w:ascii="Calibri" w:eastAsia="Times New Roman" w:hAnsi="Calibri" w:cs="Calibri"/>
          <w:b/>
          <w:bCs/>
          <w:color w:val="000000"/>
          <w:sz w:val="22"/>
          <w:szCs w:val="22"/>
        </w:rPr>
      </w:pPr>
      <w:r>
        <w:rPr>
          <w:rFonts w:eastAsia="Times New Roman" w:cs="Times New Roman"/>
          <w:szCs w:val="28"/>
        </w:rPr>
        <w:t xml:space="preserve">In addition to the cashflows in the graph an additional </w:t>
      </w:r>
      <w:r w:rsidR="008904AE">
        <w:rPr>
          <w:rFonts w:eastAsia="Times New Roman" w:cs="Times New Roman"/>
          <w:szCs w:val="28"/>
        </w:rPr>
        <w:t>$</w:t>
      </w:r>
      <w:r w:rsidR="00A7478F">
        <w:rPr>
          <w:rFonts w:eastAsia="Times New Roman" w:cs="Times New Roman"/>
          <w:szCs w:val="28"/>
        </w:rPr>
        <w:t>10,693,074</w:t>
      </w:r>
      <w:r w:rsidRPr="00A167BA">
        <w:rPr>
          <w:rFonts w:ascii="Calibri" w:eastAsia="Times New Roman" w:hAnsi="Calibri" w:cs="Calibri"/>
          <w:b/>
          <w:bCs/>
          <w:color w:val="000000"/>
          <w:sz w:val="22"/>
          <w:szCs w:val="22"/>
        </w:rPr>
        <w:t xml:space="preserve"> </w:t>
      </w:r>
      <w:r w:rsidRPr="00A167BA">
        <w:rPr>
          <w:rFonts w:eastAsia="Times New Roman" w:cs="Times New Roman"/>
          <w:szCs w:val="28"/>
        </w:rPr>
        <w:t>is expected to be paid</w:t>
      </w:r>
      <w:r>
        <w:rPr>
          <w:rFonts w:eastAsia="Times New Roman" w:cs="Times New Roman"/>
          <w:szCs w:val="28"/>
        </w:rPr>
        <w:t xml:space="preserve"> as at 1 January 2020 for the </w:t>
      </w:r>
      <w:r w:rsidR="00A7478F">
        <w:rPr>
          <w:rFonts w:eastAsia="Times New Roman" w:cs="Times New Roman"/>
          <w:szCs w:val="28"/>
        </w:rPr>
        <w:t>LS</w:t>
      </w:r>
      <w:r>
        <w:rPr>
          <w:rFonts w:eastAsia="Times New Roman" w:cs="Times New Roman"/>
          <w:szCs w:val="28"/>
        </w:rPr>
        <w:t xml:space="preserve"> </w:t>
      </w:r>
      <w:r w:rsidR="00A7478F">
        <w:rPr>
          <w:rFonts w:eastAsia="Times New Roman" w:cs="Times New Roman"/>
          <w:szCs w:val="28"/>
        </w:rPr>
        <w:t>proposal</w:t>
      </w:r>
      <w:r>
        <w:rPr>
          <w:rFonts w:eastAsia="Times New Roman" w:cs="Times New Roman"/>
          <w:szCs w:val="28"/>
        </w:rPr>
        <w:t xml:space="preserve"> scenario only.</w:t>
      </w:r>
    </w:p>
    <w:p w14:paraId="27943A4A" w14:textId="4C5AB006" w:rsidR="003179F9" w:rsidRPr="00A167BA" w:rsidRDefault="003179F9">
      <w:pPr>
        <w:rPr>
          <w:rFonts w:eastAsia="Times New Roman" w:cs="Times New Roman"/>
          <w:szCs w:val="28"/>
        </w:rPr>
      </w:pPr>
    </w:p>
    <w:p w14:paraId="4B0E872B" w14:textId="2F55BE8A" w:rsidR="00086FEB" w:rsidRDefault="00086FEB">
      <w:pPr>
        <w:rPr>
          <w:rFonts w:eastAsia="Times New Roman" w:cs="Times New Roman"/>
          <w:szCs w:val="28"/>
        </w:rPr>
      </w:pPr>
      <w:r>
        <w:rPr>
          <w:rFonts w:eastAsia="Times New Roman" w:cs="Times New Roman"/>
          <w:szCs w:val="28"/>
        </w:rPr>
        <w:t xml:space="preserve">It can be seen from the graph that: </w:t>
      </w:r>
    </w:p>
    <w:p w14:paraId="07645677" w14:textId="77777777" w:rsidR="00086FEB" w:rsidRDefault="00086FEB">
      <w:pPr>
        <w:rPr>
          <w:rFonts w:eastAsia="Times New Roman" w:cs="Times New Roman"/>
          <w:szCs w:val="28"/>
        </w:rPr>
      </w:pPr>
    </w:p>
    <w:p w14:paraId="78F688EB" w14:textId="6D637F4A" w:rsidR="005214A9" w:rsidRDefault="005214A9" w:rsidP="009744C7">
      <w:pPr>
        <w:pStyle w:val="ListParagraph"/>
        <w:numPr>
          <w:ilvl w:val="0"/>
          <w:numId w:val="43"/>
        </w:numPr>
        <w:rPr>
          <w:szCs w:val="28"/>
        </w:rPr>
      </w:pPr>
      <w:r>
        <w:rPr>
          <w:szCs w:val="28"/>
        </w:rPr>
        <w:t xml:space="preserve">For all proposals cashflows increase over time as more age groups reach </w:t>
      </w:r>
      <w:r w:rsidR="0005199B">
        <w:rPr>
          <w:szCs w:val="28"/>
        </w:rPr>
        <w:t>retirement</w:t>
      </w:r>
      <w:r>
        <w:rPr>
          <w:szCs w:val="28"/>
        </w:rPr>
        <w:t xml:space="preserve"> and reach a peak before gradually reducing as age groups reach their life expectancy.</w:t>
      </w:r>
    </w:p>
    <w:p w14:paraId="760B9D08" w14:textId="442FBCB3" w:rsidR="005214A9" w:rsidRPr="005214A9" w:rsidRDefault="005214A9" w:rsidP="005214A9">
      <w:pPr>
        <w:pStyle w:val="ListParagraph"/>
        <w:numPr>
          <w:ilvl w:val="0"/>
          <w:numId w:val="43"/>
        </w:numPr>
        <w:rPr>
          <w:szCs w:val="28"/>
        </w:rPr>
      </w:pPr>
      <w:r>
        <w:rPr>
          <w:szCs w:val="28"/>
        </w:rPr>
        <w:t xml:space="preserve">For all proposals cashflows converge towards zero at the year 2055 when the youngest </w:t>
      </w:r>
      <w:r w:rsidR="008904AE">
        <w:rPr>
          <w:szCs w:val="28"/>
        </w:rPr>
        <w:t>“</w:t>
      </w:r>
      <w:r>
        <w:rPr>
          <w:szCs w:val="28"/>
        </w:rPr>
        <w:t xml:space="preserve">age </w:t>
      </w:r>
      <w:r w:rsidR="00FC3DAB">
        <w:rPr>
          <w:szCs w:val="28"/>
        </w:rPr>
        <w:t>next</w:t>
      </w:r>
      <w:r w:rsidR="008904AE">
        <w:rPr>
          <w:szCs w:val="28"/>
        </w:rPr>
        <w:t xml:space="preserve"> birthday”</w:t>
      </w:r>
      <w:r w:rsidR="00FC3DAB">
        <w:rPr>
          <w:szCs w:val="28"/>
        </w:rPr>
        <w:t xml:space="preserve"> </w:t>
      </w:r>
      <w:r>
        <w:rPr>
          <w:szCs w:val="28"/>
        </w:rPr>
        <w:t>group is expected to die.</w:t>
      </w:r>
    </w:p>
    <w:p w14:paraId="19AF2B6E" w14:textId="0602C9BA" w:rsidR="009744C7" w:rsidRDefault="00086FEB" w:rsidP="009744C7">
      <w:pPr>
        <w:pStyle w:val="ListParagraph"/>
        <w:numPr>
          <w:ilvl w:val="0"/>
          <w:numId w:val="43"/>
        </w:numPr>
        <w:rPr>
          <w:szCs w:val="28"/>
        </w:rPr>
      </w:pPr>
      <w:r>
        <w:rPr>
          <w:szCs w:val="28"/>
        </w:rPr>
        <w:t xml:space="preserve">The </w:t>
      </w:r>
      <w:r w:rsidR="00A7478F">
        <w:rPr>
          <w:szCs w:val="28"/>
        </w:rPr>
        <w:t>LS</w:t>
      </w:r>
      <w:r>
        <w:rPr>
          <w:szCs w:val="28"/>
        </w:rPr>
        <w:t xml:space="preserve"> </w:t>
      </w:r>
      <w:r w:rsidR="009744C7">
        <w:rPr>
          <w:szCs w:val="28"/>
        </w:rPr>
        <w:t xml:space="preserve">future cashflows are significantly below the existing and PIE future cashflows. However this ignores the large cashflow outgo at 1 January 2020 to pay the </w:t>
      </w:r>
      <w:r w:rsidR="00A7478F">
        <w:rPr>
          <w:szCs w:val="28"/>
        </w:rPr>
        <w:t>lump sums</w:t>
      </w:r>
      <w:r w:rsidR="009744C7">
        <w:rPr>
          <w:szCs w:val="28"/>
        </w:rPr>
        <w:t xml:space="preserve">. </w:t>
      </w:r>
    </w:p>
    <w:p w14:paraId="477FBB12" w14:textId="77725D9A" w:rsidR="009744C7" w:rsidRDefault="00A7478F" w:rsidP="009744C7">
      <w:pPr>
        <w:pStyle w:val="ListParagraph"/>
        <w:numPr>
          <w:ilvl w:val="0"/>
          <w:numId w:val="43"/>
        </w:numPr>
        <w:rPr>
          <w:szCs w:val="28"/>
        </w:rPr>
      </w:pPr>
      <w:r>
        <w:rPr>
          <w:szCs w:val="28"/>
        </w:rPr>
        <w:t>The LS</w:t>
      </w:r>
      <w:r w:rsidR="00D6033C">
        <w:rPr>
          <w:szCs w:val="28"/>
        </w:rPr>
        <w:t xml:space="preserve"> cashflows are lower because some </w:t>
      </w:r>
      <w:r>
        <w:rPr>
          <w:szCs w:val="28"/>
        </w:rPr>
        <w:t>individuals</w:t>
      </w:r>
      <w:r w:rsidR="00D6033C">
        <w:rPr>
          <w:szCs w:val="28"/>
        </w:rPr>
        <w:t xml:space="preserve"> are expected to be removed from future cashflows by paying the equivalent value of all cashflows at 1 January 2020. </w:t>
      </w:r>
    </w:p>
    <w:p w14:paraId="26287D64" w14:textId="087E6C65" w:rsidR="00D6033C" w:rsidRDefault="00D6033C" w:rsidP="00D6033C">
      <w:pPr>
        <w:pStyle w:val="ListParagraph"/>
        <w:numPr>
          <w:ilvl w:val="0"/>
          <w:numId w:val="43"/>
        </w:numPr>
        <w:rPr>
          <w:szCs w:val="28"/>
        </w:rPr>
      </w:pPr>
      <w:r>
        <w:rPr>
          <w:szCs w:val="28"/>
        </w:rPr>
        <w:t xml:space="preserve">The </w:t>
      </w:r>
      <w:r w:rsidR="00A7478F">
        <w:rPr>
          <w:szCs w:val="28"/>
        </w:rPr>
        <w:t>LS</w:t>
      </w:r>
      <w:r>
        <w:rPr>
          <w:szCs w:val="28"/>
        </w:rPr>
        <w:t xml:space="preserve"> expected cashflows follow a similar pattern to the exi</w:t>
      </w:r>
      <w:r w:rsidR="00A7478F">
        <w:rPr>
          <w:szCs w:val="28"/>
        </w:rPr>
        <w:t>s</w:t>
      </w:r>
      <w:r>
        <w:rPr>
          <w:szCs w:val="28"/>
        </w:rPr>
        <w:t xml:space="preserve">ting expected cashflows. This is because after the initial </w:t>
      </w:r>
      <w:r w:rsidR="00A7478F">
        <w:rPr>
          <w:szCs w:val="28"/>
        </w:rPr>
        <w:t>LS bulk</w:t>
      </w:r>
      <w:r>
        <w:rPr>
          <w:szCs w:val="28"/>
        </w:rPr>
        <w:t xml:space="preserve"> payment at 1 January 2020 the remaining </w:t>
      </w:r>
      <w:r w:rsidR="00A7478F">
        <w:rPr>
          <w:szCs w:val="28"/>
        </w:rPr>
        <w:t xml:space="preserve">individuals </w:t>
      </w:r>
      <w:r>
        <w:rPr>
          <w:szCs w:val="28"/>
        </w:rPr>
        <w:t>who did not take up the offer get the</w:t>
      </w:r>
      <w:r w:rsidR="00DD11A4">
        <w:rPr>
          <w:szCs w:val="28"/>
        </w:rPr>
        <w:t>ir</w:t>
      </w:r>
      <w:r>
        <w:rPr>
          <w:szCs w:val="28"/>
        </w:rPr>
        <w:t xml:space="preserve"> existing benefits.  </w:t>
      </w:r>
    </w:p>
    <w:p w14:paraId="3CBA1A6C" w14:textId="6D9B46C3" w:rsidR="006F291F" w:rsidRDefault="006F291F" w:rsidP="00D6033C">
      <w:pPr>
        <w:pStyle w:val="ListParagraph"/>
        <w:numPr>
          <w:ilvl w:val="0"/>
          <w:numId w:val="43"/>
        </w:numPr>
        <w:rPr>
          <w:szCs w:val="28"/>
        </w:rPr>
      </w:pPr>
      <w:r>
        <w:rPr>
          <w:szCs w:val="28"/>
        </w:rPr>
        <w:t>Overall</w:t>
      </w:r>
      <w:r w:rsidR="005214A9">
        <w:rPr>
          <w:szCs w:val="28"/>
        </w:rPr>
        <w:t xml:space="preserve">, </w:t>
      </w:r>
      <w:r>
        <w:rPr>
          <w:szCs w:val="28"/>
        </w:rPr>
        <w:t xml:space="preserve">the earlier period when the PIE cashflows are higher offsets with the later period where the PIE cashflows are lower so that the expected PV of the PIE and existing scenarios are equal.  The reason </w:t>
      </w:r>
      <w:r w:rsidR="00DD11A4">
        <w:rPr>
          <w:szCs w:val="28"/>
        </w:rPr>
        <w:t>the PVs are equal despite</w:t>
      </w:r>
      <w:r>
        <w:rPr>
          <w:szCs w:val="28"/>
        </w:rPr>
        <w:t xml:space="preserve"> the gap between the PIE and existing cash</w:t>
      </w:r>
      <w:r w:rsidR="0084537E">
        <w:rPr>
          <w:szCs w:val="28"/>
        </w:rPr>
        <w:t>f</w:t>
      </w:r>
      <w:r>
        <w:rPr>
          <w:szCs w:val="28"/>
        </w:rPr>
        <w:t xml:space="preserve">lows </w:t>
      </w:r>
      <w:r w:rsidR="00DD11A4">
        <w:rPr>
          <w:szCs w:val="28"/>
        </w:rPr>
        <w:t>being</w:t>
      </w:r>
      <w:r>
        <w:rPr>
          <w:szCs w:val="28"/>
        </w:rPr>
        <w:t xml:space="preserve"> smaller for the earlier period</w:t>
      </w:r>
      <w:r w:rsidR="00DD11A4">
        <w:rPr>
          <w:szCs w:val="28"/>
        </w:rPr>
        <w:t>,</w:t>
      </w:r>
      <w:r>
        <w:rPr>
          <w:szCs w:val="28"/>
        </w:rPr>
        <w:t xml:space="preserve"> is because the earlier cash</w:t>
      </w:r>
      <w:r w:rsidR="0084537E">
        <w:rPr>
          <w:szCs w:val="28"/>
        </w:rPr>
        <w:t>f</w:t>
      </w:r>
      <w:r>
        <w:rPr>
          <w:szCs w:val="28"/>
        </w:rPr>
        <w:t>lows contribute more to the expected PV because they are discounted</w:t>
      </w:r>
      <w:r w:rsidR="00DD11A4">
        <w:rPr>
          <w:szCs w:val="28"/>
        </w:rPr>
        <w:t xml:space="preserve"> for less time</w:t>
      </w:r>
      <w:r>
        <w:rPr>
          <w:szCs w:val="28"/>
        </w:rPr>
        <w:t>.</w:t>
      </w:r>
    </w:p>
    <w:p w14:paraId="29BE1C25" w14:textId="77777777" w:rsidR="00D6033C" w:rsidRDefault="00D6033C" w:rsidP="00D6033C">
      <w:pPr>
        <w:ind w:left="360"/>
        <w:rPr>
          <w:szCs w:val="28"/>
        </w:rPr>
      </w:pPr>
    </w:p>
    <w:p w14:paraId="46E1E208" w14:textId="77777777" w:rsidR="00734DC5" w:rsidRDefault="00734DC5" w:rsidP="00D6033C">
      <w:pPr>
        <w:ind w:left="360"/>
        <w:rPr>
          <w:szCs w:val="28"/>
        </w:rPr>
      </w:pPr>
    </w:p>
    <w:p w14:paraId="62A92459" w14:textId="77777777" w:rsidR="00734DC5" w:rsidRDefault="00734DC5" w:rsidP="00D6033C">
      <w:pPr>
        <w:ind w:left="360"/>
        <w:rPr>
          <w:szCs w:val="28"/>
        </w:rPr>
      </w:pPr>
    </w:p>
    <w:p w14:paraId="0DE44333" w14:textId="77777777" w:rsidR="00734DC5" w:rsidRPr="00D6033C" w:rsidRDefault="00734DC5" w:rsidP="00D6033C">
      <w:pPr>
        <w:ind w:left="360"/>
        <w:rPr>
          <w:szCs w:val="28"/>
        </w:rPr>
      </w:pPr>
    </w:p>
    <w:p w14:paraId="15079D2D" w14:textId="5AEF3663" w:rsidR="0062601B" w:rsidRPr="00F1301B" w:rsidRDefault="0062601B">
      <w:pPr>
        <w:rPr>
          <w:rFonts w:eastAsia="Times New Roman" w:cs="Times New Roman"/>
          <w:b/>
          <w:sz w:val="28"/>
          <w:szCs w:val="28"/>
        </w:rPr>
      </w:pPr>
      <w:r>
        <w:rPr>
          <w:rFonts w:eastAsia="Times New Roman" w:cs="Times New Roman"/>
          <w:b/>
          <w:sz w:val="28"/>
          <w:szCs w:val="28"/>
        </w:rPr>
        <w:lastRenderedPageBreak/>
        <w:t>Conclusions</w:t>
      </w:r>
    </w:p>
    <w:p w14:paraId="60257C52" w14:textId="77777777" w:rsidR="0062601B" w:rsidRPr="00F1301B" w:rsidRDefault="0062601B"/>
    <w:p w14:paraId="32973B2F" w14:textId="3A29B1F4" w:rsidR="0049793C" w:rsidRDefault="0049793C" w:rsidP="00885553">
      <w:pPr>
        <w:pStyle w:val="ListParagraph"/>
        <w:numPr>
          <w:ilvl w:val="0"/>
          <w:numId w:val="1"/>
        </w:numPr>
        <w:ind w:left="357" w:hanging="357"/>
      </w:pPr>
      <w:r>
        <w:t xml:space="preserve">The PIE </w:t>
      </w:r>
      <w:r w:rsidR="005214A9">
        <w:t>proposal</w:t>
      </w:r>
      <w:r>
        <w:t xml:space="preserve"> removes uncertainty about future inflation inc</w:t>
      </w:r>
      <w:r w:rsidR="00DD11A4">
        <w:t>r</w:t>
      </w:r>
      <w:r>
        <w:t xml:space="preserve">eases for those </w:t>
      </w:r>
      <w:r w:rsidR="005214A9">
        <w:t>individuals</w:t>
      </w:r>
      <w:r>
        <w:t xml:space="preserve"> who take up the offer.  Uncertainty around expected lifetimes </w:t>
      </w:r>
      <w:r w:rsidR="00DD11A4">
        <w:t>remains for</w:t>
      </w:r>
      <w:r>
        <w:t xml:space="preserve"> </w:t>
      </w:r>
      <w:r w:rsidR="005214A9">
        <w:t>individuals</w:t>
      </w:r>
      <w:r>
        <w:t xml:space="preserve"> </w:t>
      </w:r>
      <w:r w:rsidR="00DD11A4">
        <w:t xml:space="preserve">who take up the PIE offer </w:t>
      </w:r>
      <w:r>
        <w:t>because the pensions are st</w:t>
      </w:r>
      <w:r w:rsidR="00DD11A4">
        <w:t xml:space="preserve">ill paid for the whole lifetime. </w:t>
      </w:r>
    </w:p>
    <w:p w14:paraId="312E984A" w14:textId="6C9CACFD" w:rsidR="00712C8D" w:rsidRPr="00712C8D" w:rsidRDefault="0049793C" w:rsidP="00712C8D">
      <w:pPr>
        <w:pStyle w:val="ListParagraph"/>
        <w:numPr>
          <w:ilvl w:val="0"/>
          <w:numId w:val="1"/>
        </w:numPr>
        <w:ind w:left="357" w:hanging="357"/>
        <w:rPr>
          <w:szCs w:val="28"/>
        </w:rPr>
      </w:pPr>
      <w:r>
        <w:t xml:space="preserve">The </w:t>
      </w:r>
      <w:r w:rsidR="005214A9">
        <w:t>LS proposal</w:t>
      </w:r>
      <w:r>
        <w:t xml:space="preserve"> removes all uncertainty for </w:t>
      </w:r>
      <w:r w:rsidR="001660EA">
        <w:t xml:space="preserve">those </w:t>
      </w:r>
      <w:r>
        <w:t xml:space="preserve">members who take up the offer because all future pension payments are eliminated by paying a </w:t>
      </w:r>
      <w:r w:rsidR="005214A9">
        <w:t>lump sum</w:t>
      </w:r>
      <w:r>
        <w:t xml:space="preserve"> payment at 1 January 2020. The future cashflows are expected to be significantly reduced after </w:t>
      </w:r>
      <w:r w:rsidR="004575EA">
        <w:t>the</w:t>
      </w:r>
      <w:r>
        <w:t xml:space="preserve"> </w:t>
      </w:r>
      <w:r w:rsidR="005214A9">
        <w:t>LS proposal</w:t>
      </w:r>
      <w:r w:rsidR="001660EA">
        <w:t xml:space="preserve"> based on the take-up rate assumed</w:t>
      </w:r>
      <w:r>
        <w:t xml:space="preserve">. </w:t>
      </w:r>
    </w:p>
    <w:p w14:paraId="5E032B4A" w14:textId="51A54D76" w:rsidR="00712C8D" w:rsidRDefault="00E03445" w:rsidP="00712C8D">
      <w:pPr>
        <w:pStyle w:val="ListParagraph"/>
        <w:numPr>
          <w:ilvl w:val="0"/>
          <w:numId w:val="1"/>
        </w:numPr>
        <w:ind w:left="357" w:hanging="357"/>
        <w:rPr>
          <w:szCs w:val="28"/>
        </w:rPr>
      </w:pPr>
      <w:r>
        <w:rPr>
          <w:szCs w:val="28"/>
        </w:rPr>
        <w:t xml:space="preserve">The expected PV after the LS proposal (including the LS payments at 1 January 2020) is higher than the existing and PIE proposal expected PV. Automake will need to consider whether it is worth paying a higher expected PV overall to reduce the uncertainty of expected future cashflows. </w:t>
      </w:r>
    </w:p>
    <w:p w14:paraId="2EF02E39" w14:textId="21FEC71F" w:rsidR="00E03445" w:rsidRDefault="00712C8D" w:rsidP="00545F9A">
      <w:pPr>
        <w:pStyle w:val="ListParagraph"/>
        <w:numPr>
          <w:ilvl w:val="0"/>
          <w:numId w:val="1"/>
        </w:numPr>
        <w:rPr>
          <w:szCs w:val="28"/>
        </w:rPr>
      </w:pPr>
      <w:r>
        <w:rPr>
          <w:szCs w:val="28"/>
        </w:rPr>
        <w:t xml:space="preserve">Automake will also need to consider if they can afford to pay the large LS payment at 1 January 2020 compared to their </w:t>
      </w:r>
      <w:r w:rsidR="00E03445">
        <w:rPr>
          <w:szCs w:val="28"/>
        </w:rPr>
        <w:t>ability to meet any unexpected future cashflows</w:t>
      </w:r>
      <w:r>
        <w:rPr>
          <w:szCs w:val="28"/>
        </w:rPr>
        <w:t xml:space="preserve"> on the existing scenario</w:t>
      </w:r>
      <w:r w:rsidR="00E03445">
        <w:rPr>
          <w:szCs w:val="28"/>
        </w:rPr>
        <w:t>.</w:t>
      </w:r>
      <w:r>
        <w:rPr>
          <w:szCs w:val="28"/>
        </w:rPr>
        <w:t xml:space="preserve"> </w:t>
      </w:r>
    </w:p>
    <w:p w14:paraId="1AD0CF6D" w14:textId="4B8FA33D" w:rsidR="00712C8D" w:rsidRPr="004F3B53" w:rsidRDefault="00712C8D" w:rsidP="004F3B53">
      <w:pPr>
        <w:pStyle w:val="ListParagraph"/>
        <w:numPr>
          <w:ilvl w:val="0"/>
          <w:numId w:val="1"/>
        </w:numPr>
        <w:ind w:left="357" w:hanging="357"/>
        <w:rPr>
          <w:szCs w:val="28"/>
        </w:rPr>
      </w:pPr>
      <w:r>
        <w:t>Automake’s risk appetite and ability to meet cashflows at 1 January 2020 and stretching into the future to around the year 2054 will be key factors influencing whether the proposals are possible and/or appealing.</w:t>
      </w:r>
    </w:p>
    <w:p w14:paraId="1589A492" w14:textId="2E688E55" w:rsidR="00EA6DB1" w:rsidRDefault="00D6033C" w:rsidP="00885553">
      <w:pPr>
        <w:pStyle w:val="ListParagraph"/>
        <w:numPr>
          <w:ilvl w:val="0"/>
          <w:numId w:val="1"/>
        </w:numPr>
        <w:ind w:left="357" w:hanging="357"/>
      </w:pPr>
      <w:r>
        <w:t>Actual cashflows will not be known until they occur and will be affected in particular by actual future inflation</w:t>
      </w:r>
      <w:r w:rsidR="005214A9">
        <w:t>, actual take up rates and when actual mortality experience</w:t>
      </w:r>
      <w:r>
        <w:t>.</w:t>
      </w:r>
    </w:p>
    <w:p w14:paraId="2E3991C1" w14:textId="77777777" w:rsidR="00637504" w:rsidRDefault="00637504" w:rsidP="00545F9A">
      <w:pPr>
        <w:pStyle w:val="ListParagraph"/>
        <w:ind w:left="357"/>
      </w:pPr>
    </w:p>
    <w:p w14:paraId="25E2654D" w14:textId="77777777" w:rsidR="00396DBF" w:rsidRDefault="00396DBF" w:rsidP="00885553">
      <w:pPr>
        <w:pStyle w:val="ListParagraph"/>
      </w:pPr>
    </w:p>
    <w:p w14:paraId="4092A3D5" w14:textId="77777777" w:rsidR="0062601B" w:rsidRDefault="0062601B">
      <w:pPr>
        <w:rPr>
          <w:rFonts w:eastAsia="Times New Roman" w:cs="Times New Roman"/>
          <w:b/>
          <w:sz w:val="28"/>
          <w:szCs w:val="28"/>
        </w:rPr>
      </w:pPr>
      <w:r w:rsidRPr="00F1301B">
        <w:rPr>
          <w:rFonts w:eastAsia="Times New Roman" w:cs="Times New Roman"/>
          <w:b/>
          <w:sz w:val="28"/>
          <w:szCs w:val="28"/>
        </w:rPr>
        <w:t>Next steps</w:t>
      </w:r>
    </w:p>
    <w:p w14:paraId="54A404D5" w14:textId="77777777" w:rsidR="0062601B" w:rsidRPr="00885553" w:rsidRDefault="0062601B">
      <w:pPr>
        <w:rPr>
          <w:rFonts w:eastAsia="Times New Roman" w:cs="Times New Roman"/>
          <w:b/>
          <w:szCs w:val="28"/>
        </w:rPr>
      </w:pPr>
    </w:p>
    <w:p w14:paraId="36ABD54E" w14:textId="77777777" w:rsidR="00465783" w:rsidRDefault="00B00B28" w:rsidP="00465783">
      <w:pPr>
        <w:pStyle w:val="ListParagraph"/>
        <w:numPr>
          <w:ilvl w:val="0"/>
          <w:numId w:val="6"/>
        </w:numPr>
        <w:spacing w:after="180"/>
        <w:ind w:left="357" w:hanging="357"/>
      </w:pPr>
      <w:r>
        <w:t>Validate the data provided</w:t>
      </w:r>
      <w:r w:rsidR="000F4194">
        <w:t>.</w:t>
      </w:r>
    </w:p>
    <w:p w14:paraId="54A4F197" w14:textId="358AE66A" w:rsidR="00465783" w:rsidRDefault="00465783" w:rsidP="00465783">
      <w:pPr>
        <w:pStyle w:val="ListParagraph"/>
        <w:numPr>
          <w:ilvl w:val="1"/>
          <w:numId w:val="6"/>
        </w:numPr>
        <w:spacing w:after="180"/>
      </w:pPr>
      <w:r w:rsidRPr="00465783">
        <w:t xml:space="preserve">Independently verify if the </w:t>
      </w:r>
      <w:r w:rsidR="00524B05">
        <w:t xml:space="preserve">LS </w:t>
      </w:r>
      <w:r w:rsidRPr="00465783">
        <w:t>enhancement percentage</w:t>
      </w:r>
      <w:r w:rsidR="004575EA">
        <w:t xml:space="preserve"> and expected take up rates</w:t>
      </w:r>
      <w:r w:rsidRPr="00465783">
        <w:t xml:space="preserve"> offered for the </w:t>
      </w:r>
      <w:r w:rsidR="00524B05">
        <w:t>LS proposal</w:t>
      </w:r>
      <w:r w:rsidRPr="00465783">
        <w:t xml:space="preserve"> appears reasonable, p</w:t>
      </w:r>
      <w:r w:rsidR="004575EA">
        <w:t xml:space="preserve">ossibly by comparing with similar </w:t>
      </w:r>
      <w:r w:rsidRPr="00465783">
        <w:t xml:space="preserve">projects </w:t>
      </w:r>
      <w:r w:rsidR="004575EA">
        <w:t>for</w:t>
      </w:r>
      <w:r w:rsidRPr="00465783">
        <w:t xml:space="preserve"> other clients or in the media.</w:t>
      </w:r>
    </w:p>
    <w:p w14:paraId="79457FE4" w14:textId="7FE3CEE2" w:rsidR="00465783" w:rsidRDefault="00465783" w:rsidP="00465783">
      <w:pPr>
        <w:pStyle w:val="ListParagraph"/>
        <w:numPr>
          <w:ilvl w:val="1"/>
          <w:numId w:val="6"/>
        </w:numPr>
        <w:spacing w:after="180"/>
      </w:pPr>
      <w:r>
        <w:t>Carry out more investigation in</w:t>
      </w:r>
      <w:r w:rsidR="00524B05">
        <w:t>to the mortality rate</w:t>
      </w:r>
      <w:r>
        <w:t xml:space="preserve"> of the </w:t>
      </w:r>
      <w:r w:rsidR="00734DC5">
        <w:t xml:space="preserve">450 previous employees </w:t>
      </w:r>
      <w:r>
        <w:t>to validate the expected lifetimes provided by Martin.  The expected lifetimes could be compared to those assumed in other clients with similar</w:t>
      </w:r>
      <w:r w:rsidR="00524B05">
        <w:t xml:space="preserve"> previous</w:t>
      </w:r>
      <w:r>
        <w:t xml:space="preserve"> </w:t>
      </w:r>
      <w:r w:rsidR="00524B05">
        <w:t>employees</w:t>
      </w:r>
      <w:r>
        <w:t>.</w:t>
      </w:r>
    </w:p>
    <w:p w14:paraId="75382B3C" w14:textId="2997E3D2" w:rsidR="005F2A36" w:rsidRDefault="0049793C" w:rsidP="005F2A36">
      <w:pPr>
        <w:pStyle w:val="ListParagraph"/>
        <w:numPr>
          <w:ilvl w:val="0"/>
          <w:numId w:val="25"/>
        </w:numPr>
        <w:spacing w:after="180"/>
        <w:ind w:left="284" w:hanging="284"/>
      </w:pPr>
      <w:r>
        <w:t xml:space="preserve">Confirm that Automake has </w:t>
      </w:r>
      <w:r w:rsidR="00833CF1">
        <w:t xml:space="preserve">the funds available to meet the </w:t>
      </w:r>
      <w:r w:rsidR="00524B05">
        <w:t>expected lump sum</w:t>
      </w:r>
      <w:r w:rsidR="00833CF1">
        <w:t xml:space="preserve"> payment at 1 January 2020.</w:t>
      </w:r>
      <w:r w:rsidR="00EB7758">
        <w:t xml:space="preserve">  Do they have liquid assets and are they willing to use these assets to extinguish future pension payments. Would the funds be better put to use on other business activities to strengthen the business so that they can meet the </w:t>
      </w:r>
      <w:r w:rsidR="00524B05">
        <w:t>existing expected future</w:t>
      </w:r>
      <w:r w:rsidR="00EB7758">
        <w:t xml:space="preserve"> pension cashflows more easily?  </w:t>
      </w:r>
      <w:r w:rsidR="00833CF1">
        <w:t xml:space="preserve">  </w:t>
      </w:r>
    </w:p>
    <w:p w14:paraId="6BE8EC15" w14:textId="15A6BFD4" w:rsidR="00833CF1" w:rsidRDefault="00833CF1" w:rsidP="005F2A36">
      <w:pPr>
        <w:pStyle w:val="ListParagraph"/>
        <w:numPr>
          <w:ilvl w:val="0"/>
          <w:numId w:val="25"/>
        </w:numPr>
        <w:spacing w:after="180"/>
        <w:ind w:left="284" w:hanging="284"/>
      </w:pPr>
      <w:r>
        <w:t xml:space="preserve">Consider a shock scenario of a greater than expected number of members taking up the </w:t>
      </w:r>
      <w:r w:rsidR="00524B05">
        <w:t>LS proposal</w:t>
      </w:r>
      <w:r>
        <w:t xml:space="preserve">.   Would Automake </w:t>
      </w:r>
      <w:r w:rsidR="004575EA">
        <w:t>be able to meet the cashflow demand</w:t>
      </w:r>
      <w:r>
        <w:t>?  Would a contingency plan be needed if a higher</w:t>
      </w:r>
      <w:r w:rsidR="00524B05">
        <w:t xml:space="preserve"> take</w:t>
      </w:r>
      <w:r w:rsidR="00EB7758">
        <w:t>-</w:t>
      </w:r>
      <w:r>
        <w:t>up occurred</w:t>
      </w:r>
      <w:r w:rsidR="004575EA">
        <w:t xml:space="preserve"> to cancel the project, obtain additional funds or </w:t>
      </w:r>
      <w:r w:rsidR="00EB7758">
        <w:t>reduce the enhancement</w:t>
      </w:r>
      <w:r w:rsidR="004575EA">
        <w:t xml:space="preserve"> offered.</w:t>
      </w:r>
      <w:r>
        <w:t xml:space="preserve"> </w:t>
      </w:r>
    </w:p>
    <w:p w14:paraId="3037FE30" w14:textId="7C93AD53" w:rsidR="000018B5" w:rsidRDefault="00833CF1" w:rsidP="005F2A36">
      <w:pPr>
        <w:pStyle w:val="ListParagraph"/>
        <w:numPr>
          <w:ilvl w:val="0"/>
          <w:numId w:val="25"/>
        </w:numPr>
        <w:spacing w:after="180"/>
        <w:ind w:left="284" w:hanging="284"/>
      </w:pPr>
      <w:r>
        <w:t xml:space="preserve">Research </w:t>
      </w:r>
      <w:r w:rsidR="004575EA">
        <w:t xml:space="preserve">any </w:t>
      </w:r>
      <w:r>
        <w:t xml:space="preserve">regulations around PIE and </w:t>
      </w:r>
      <w:r w:rsidR="00524B05">
        <w:t>LS</w:t>
      </w:r>
      <w:r>
        <w:t xml:space="preserve"> </w:t>
      </w:r>
      <w:r w:rsidR="00524B05">
        <w:t>proposals</w:t>
      </w:r>
      <w:r>
        <w:t xml:space="preserve"> and ensure the calculations and options offered comply with these. </w:t>
      </w:r>
      <w:r w:rsidR="00465783">
        <w:t xml:space="preserve">For example do the </w:t>
      </w:r>
      <w:r w:rsidR="00524B05">
        <w:t>individuals</w:t>
      </w:r>
      <w:r w:rsidR="00465783">
        <w:t xml:space="preserve"> need to be offered independent financial advice to help them make the decisions or any other </w:t>
      </w:r>
      <w:r w:rsidR="00524B05">
        <w:t xml:space="preserve">legal </w:t>
      </w:r>
      <w:r w:rsidR="00465783">
        <w:t>protection offered to members.</w:t>
      </w:r>
    </w:p>
    <w:p w14:paraId="357B0964" w14:textId="2478B03D" w:rsidR="00833CF1" w:rsidRDefault="000018B5" w:rsidP="00734DC5">
      <w:pPr>
        <w:pStyle w:val="ListParagraph"/>
        <w:numPr>
          <w:ilvl w:val="0"/>
          <w:numId w:val="25"/>
        </w:numPr>
        <w:spacing w:after="180"/>
        <w:ind w:left="426" w:hanging="426"/>
      </w:pPr>
      <w:r>
        <w:lastRenderedPageBreak/>
        <w:t>Check if the</w:t>
      </w:r>
      <w:r w:rsidR="00A504FB">
        <w:t xml:space="preserve"> value of the</w:t>
      </w:r>
      <w:r>
        <w:t xml:space="preserve"> non-increasing </w:t>
      </w:r>
      <w:r w:rsidR="00A504FB">
        <w:t>pension</w:t>
      </w:r>
      <w:r>
        <w:t xml:space="preserve"> offered in the PIE </w:t>
      </w:r>
      <w:r w:rsidR="00524B05">
        <w:t>proposal</w:t>
      </w:r>
      <w:r>
        <w:t xml:space="preserve"> has to be of equal value to the existing benefits or can</w:t>
      </w:r>
      <w:r w:rsidR="00A504FB">
        <w:t xml:space="preserve"> a different – lower – amount be offered.</w:t>
      </w:r>
    </w:p>
    <w:p w14:paraId="7E330C4D" w14:textId="1C59E9AA" w:rsidR="00465783" w:rsidRDefault="00E22B60" w:rsidP="00FB6B55">
      <w:pPr>
        <w:pStyle w:val="ListParagraph"/>
        <w:numPr>
          <w:ilvl w:val="0"/>
          <w:numId w:val="6"/>
        </w:numPr>
        <w:spacing w:after="180"/>
        <w:ind w:left="357" w:hanging="357"/>
      </w:pPr>
      <w:r>
        <w:t>Confirm whether any material changes have ta</w:t>
      </w:r>
      <w:r w:rsidR="00833CF1">
        <w:t>ken place between 1 January 2019</w:t>
      </w:r>
      <w:r>
        <w:t xml:space="preserve"> and the time </w:t>
      </w:r>
      <w:r w:rsidR="004575EA">
        <w:t xml:space="preserve">the final </w:t>
      </w:r>
      <w:r w:rsidR="00524B05">
        <w:t>proposals would be</w:t>
      </w:r>
      <w:r w:rsidR="004575EA">
        <w:t xml:space="preserve"> executed. For example</w:t>
      </w:r>
      <w:r>
        <w:t xml:space="preserve"> </w:t>
      </w:r>
      <w:r w:rsidR="00833CF1">
        <w:t xml:space="preserve">have national inflation index indicators </w:t>
      </w:r>
      <w:r w:rsidR="00524B05">
        <w:t>or the appropriate</w:t>
      </w:r>
      <w:r w:rsidR="00833CF1">
        <w:t xml:space="preserve"> discount rate</w:t>
      </w:r>
      <w:r w:rsidR="00381A67">
        <w:t xml:space="preserve"> </w:t>
      </w:r>
      <w:r w:rsidR="00833CF1">
        <w:t>changed significantly.</w:t>
      </w:r>
      <w:r w:rsidR="00FB6B55">
        <w:t xml:space="preserve"> </w:t>
      </w:r>
      <w:r w:rsidR="00465783">
        <w:t xml:space="preserve">Update the projections </w:t>
      </w:r>
      <w:r w:rsidR="00FB6B55">
        <w:t xml:space="preserve">if necessary </w:t>
      </w:r>
      <w:r w:rsidR="00465783">
        <w:t xml:space="preserve">to ensure that the project is still </w:t>
      </w:r>
      <w:r w:rsidR="004575EA">
        <w:t>expected to be worthwhile</w:t>
      </w:r>
      <w:r w:rsidR="00465783">
        <w:t xml:space="preserve">.  </w:t>
      </w:r>
    </w:p>
    <w:p w14:paraId="28951CC8" w14:textId="27FC7244" w:rsidR="00833CF1" w:rsidRDefault="00833CF1" w:rsidP="00833CF1">
      <w:pPr>
        <w:pStyle w:val="ListParagraph"/>
        <w:numPr>
          <w:ilvl w:val="0"/>
          <w:numId w:val="6"/>
        </w:numPr>
        <w:spacing w:after="180"/>
        <w:ind w:left="357" w:hanging="357"/>
      </w:pPr>
      <w:r>
        <w:t xml:space="preserve">A comparison between </w:t>
      </w:r>
      <w:r w:rsidR="00524B05">
        <w:t>LS</w:t>
      </w:r>
      <w:r>
        <w:t xml:space="preserve"> enhancement rates and</w:t>
      </w:r>
      <w:r w:rsidR="004575EA">
        <w:t xml:space="preserve"> </w:t>
      </w:r>
      <w:r w:rsidR="00524B05">
        <w:t xml:space="preserve">the </w:t>
      </w:r>
      <w:r w:rsidR="004575EA">
        <w:t>resulting</w:t>
      </w:r>
      <w:r>
        <w:t xml:space="preserve"> take up rates in previous projects by other companies could be carried out by creating a scatter chart of the two variables. </w:t>
      </w:r>
    </w:p>
    <w:p w14:paraId="5963E633" w14:textId="2BD869AB" w:rsidR="00E22B60" w:rsidRDefault="00E22B60" w:rsidP="004D2434">
      <w:pPr>
        <w:pStyle w:val="ListParagraph"/>
        <w:numPr>
          <w:ilvl w:val="0"/>
          <w:numId w:val="6"/>
        </w:numPr>
        <w:spacing w:after="180"/>
        <w:ind w:left="357" w:hanging="357"/>
      </w:pPr>
      <w:r>
        <w:t xml:space="preserve">Model future </w:t>
      </w:r>
      <w:r w:rsidR="00833CF1">
        <w:t>inflation</w:t>
      </w:r>
      <w:r>
        <w:t xml:space="preserve"> stochastically so that a range of </w:t>
      </w:r>
      <w:r w:rsidR="00833CF1">
        <w:t>future cashflow</w:t>
      </w:r>
      <w:r w:rsidR="004575EA">
        <w:t xml:space="preserve"> values can be provided. This would give</w:t>
      </w:r>
      <w:r>
        <w:t xml:space="preserve"> </w:t>
      </w:r>
      <w:r w:rsidR="00910686">
        <w:t>Martin</w:t>
      </w:r>
      <w:r>
        <w:t xml:space="preserve"> an idea of the </w:t>
      </w:r>
      <w:r w:rsidR="00910686">
        <w:t>magnitude of</w:t>
      </w:r>
      <w:r w:rsidR="004575EA">
        <w:t xml:space="preserve"> the inflation</w:t>
      </w:r>
      <w:r w:rsidR="00910686">
        <w:t xml:space="preserve"> uncertainty </w:t>
      </w:r>
      <w:r w:rsidR="004575EA">
        <w:t xml:space="preserve">that </w:t>
      </w:r>
      <w:r w:rsidR="00910686">
        <w:t xml:space="preserve">the PIE </w:t>
      </w:r>
      <w:r w:rsidR="00524B05">
        <w:t>proposal</w:t>
      </w:r>
      <w:r w:rsidR="00910686">
        <w:t xml:space="preserve"> will be removing.</w:t>
      </w:r>
    </w:p>
    <w:p w14:paraId="6DDB3EC8" w14:textId="13572F8B" w:rsidR="00D4606F" w:rsidRDefault="006B646D" w:rsidP="004D2434">
      <w:pPr>
        <w:pStyle w:val="ListParagraph"/>
        <w:numPr>
          <w:ilvl w:val="0"/>
          <w:numId w:val="6"/>
        </w:numPr>
        <w:spacing w:after="180"/>
        <w:ind w:left="357" w:hanging="357"/>
      </w:pPr>
      <w:r>
        <w:t xml:space="preserve">Allow for the assumed inflation </w:t>
      </w:r>
      <w:r w:rsidR="00910686">
        <w:t xml:space="preserve">pension increases </w:t>
      </w:r>
      <w:r>
        <w:t>to vary over time i.e. reflect an inflation curve rather than a single assumption.</w:t>
      </w:r>
    </w:p>
    <w:p w14:paraId="36273B84" w14:textId="1AB1382F" w:rsidR="00465783" w:rsidRDefault="00E22B60" w:rsidP="00465783">
      <w:pPr>
        <w:pStyle w:val="ListParagraph"/>
        <w:numPr>
          <w:ilvl w:val="0"/>
          <w:numId w:val="6"/>
        </w:numPr>
        <w:spacing w:after="180"/>
        <w:ind w:left="357" w:hanging="357"/>
      </w:pPr>
      <w:r>
        <w:t xml:space="preserve">Sensitivity test </w:t>
      </w:r>
      <w:r w:rsidR="0034688A">
        <w:t>the result</w:t>
      </w:r>
      <w:r w:rsidR="00910686">
        <w:t>s</w:t>
      </w:r>
      <w:r w:rsidR="0034688A">
        <w:t xml:space="preserve"> to changes in </w:t>
      </w:r>
      <w:r w:rsidR="00910686">
        <w:t>expected lifetimes. For example if medical advances such as a cure for cancer significantly increased life expectancy or flu epidemics significantly reduced life expectancy.</w:t>
      </w:r>
    </w:p>
    <w:p w14:paraId="1BC512F5" w14:textId="34EF78AD" w:rsidR="00465783" w:rsidRPr="00BD4386" w:rsidRDefault="00465783" w:rsidP="00465783">
      <w:pPr>
        <w:pStyle w:val="ListParagraph"/>
        <w:numPr>
          <w:ilvl w:val="0"/>
          <w:numId w:val="6"/>
        </w:numPr>
        <w:spacing w:after="180"/>
        <w:ind w:left="357" w:hanging="357"/>
      </w:pPr>
      <w:r>
        <w:t xml:space="preserve">Allow for expected lifetimes to vary over time or more complex </w:t>
      </w:r>
      <w:r w:rsidR="00EB7758">
        <w:t>mortality patterns to be allowed for.</w:t>
      </w:r>
    </w:p>
    <w:p w14:paraId="31C7B65C" w14:textId="0877F891" w:rsidR="003B0679" w:rsidRDefault="004575EA" w:rsidP="003B0679">
      <w:pPr>
        <w:pStyle w:val="ListParagraph"/>
        <w:numPr>
          <w:ilvl w:val="0"/>
          <w:numId w:val="6"/>
        </w:numPr>
        <w:spacing w:after="180"/>
        <w:ind w:left="357" w:hanging="357"/>
      </w:pPr>
      <w:r>
        <w:t xml:space="preserve">Consider tax implications, </w:t>
      </w:r>
      <w:r w:rsidR="003B0679">
        <w:t xml:space="preserve">e.g. </w:t>
      </w:r>
      <w:r w:rsidR="00910686">
        <w:t xml:space="preserve">will the members or </w:t>
      </w:r>
      <w:r>
        <w:t>Automake</w:t>
      </w:r>
      <w:r w:rsidR="00910686">
        <w:t xml:space="preserve"> be effected by the paying out of the large </w:t>
      </w:r>
      <w:r w:rsidR="00524B05">
        <w:t>lump sum</w:t>
      </w:r>
      <w:r w:rsidR="00910686">
        <w:t xml:space="preserve"> payments at 1 January 2020. </w:t>
      </w:r>
    </w:p>
    <w:p w14:paraId="61F5588A" w14:textId="73A6AB99" w:rsidR="00EB7758" w:rsidRDefault="003B0679" w:rsidP="003B0679">
      <w:pPr>
        <w:pStyle w:val="ListParagraph"/>
        <w:numPr>
          <w:ilvl w:val="0"/>
          <w:numId w:val="6"/>
        </w:numPr>
        <w:spacing w:after="180"/>
        <w:ind w:left="357" w:hanging="357"/>
      </w:pPr>
      <w:r>
        <w:t xml:space="preserve">Confirm </w:t>
      </w:r>
      <w:r w:rsidR="00465783">
        <w:t xml:space="preserve">the costs of executing the </w:t>
      </w:r>
      <w:r w:rsidR="008F75EB">
        <w:t>proposals</w:t>
      </w:r>
      <w:r w:rsidR="00465783">
        <w:t xml:space="preserve"> to see if they outweigh the expected benefits to be gained</w:t>
      </w:r>
    </w:p>
    <w:p w14:paraId="20398768" w14:textId="1821156E" w:rsidR="00106CBD" w:rsidRDefault="00106CBD" w:rsidP="003B0679">
      <w:pPr>
        <w:pStyle w:val="ListParagraph"/>
        <w:numPr>
          <w:ilvl w:val="0"/>
          <w:numId w:val="6"/>
        </w:numPr>
        <w:spacing w:after="180"/>
        <w:ind w:left="357" w:hanging="357"/>
      </w:pPr>
      <w:r>
        <w:t xml:space="preserve">Consider if there are other ways to manage the </w:t>
      </w:r>
      <w:r w:rsidR="000018B5">
        <w:t>inflation and life expectancy risk, for example by use of a hedging investment strategy or by buying lifetime annuity assets which will exactly match the future pensions for members when they retire.</w:t>
      </w:r>
    </w:p>
    <w:p w14:paraId="55ABA3F7" w14:textId="5609971F" w:rsidR="003B0679" w:rsidRDefault="00EB7758" w:rsidP="003B0679">
      <w:pPr>
        <w:pStyle w:val="ListParagraph"/>
        <w:numPr>
          <w:ilvl w:val="0"/>
          <w:numId w:val="6"/>
        </w:numPr>
        <w:spacing w:after="180"/>
        <w:ind w:left="357" w:hanging="357"/>
      </w:pPr>
      <w:r>
        <w:t xml:space="preserve">Consider the impact if both </w:t>
      </w:r>
      <w:r w:rsidR="00524B05">
        <w:t>proposals</w:t>
      </w:r>
      <w:r>
        <w:t xml:space="preserve"> are run at once, including the impact on costs, take up rates, future cashflows etc</w:t>
      </w:r>
      <w:r w:rsidR="00465783">
        <w:t>.</w:t>
      </w:r>
    </w:p>
    <w:p w14:paraId="4CA4DB30" w14:textId="59587DAB" w:rsidR="008D0B65" w:rsidRPr="0005199B" w:rsidRDefault="00A06F77" w:rsidP="008D0B65">
      <w:pPr>
        <w:pStyle w:val="ListParagraph"/>
        <w:numPr>
          <w:ilvl w:val="0"/>
          <w:numId w:val="6"/>
        </w:numPr>
        <w:spacing w:after="180"/>
        <w:ind w:left="357" w:hanging="357"/>
      </w:pPr>
      <w:r w:rsidRPr="0005199B">
        <w:t>Ask Automake’s accounting advisors to report on the potential impact to their formal accounts.</w:t>
      </w:r>
      <w:r w:rsidR="0077451F" w:rsidRPr="0005199B">
        <w:t xml:space="preserve"> </w:t>
      </w:r>
    </w:p>
    <w:p w14:paraId="2ADB2FB1" w14:textId="5EEF2B20" w:rsidR="00673248" w:rsidRPr="0005199B" w:rsidRDefault="00673248" w:rsidP="008D0B65">
      <w:pPr>
        <w:pStyle w:val="ListParagraph"/>
        <w:numPr>
          <w:ilvl w:val="0"/>
          <w:numId w:val="6"/>
        </w:numPr>
        <w:spacing w:after="180"/>
        <w:ind w:left="357" w:hanging="357"/>
      </w:pPr>
      <w:r w:rsidRPr="0005199B">
        <w:t xml:space="preserve">Consider if it is fair or acceptable for all age groups to receive the same proportion increase to starting payment at </w:t>
      </w:r>
      <w:r w:rsidR="0005199B" w:rsidRPr="0005199B">
        <w:t>retirement</w:t>
      </w:r>
      <w:r w:rsidR="00524B05" w:rsidRPr="0005199B">
        <w:t xml:space="preserve"> under the PIE proposal (given they have different life expectancies)</w:t>
      </w:r>
      <w:r w:rsidRPr="0005199B">
        <w:t>.  Investigate the proportion increase to starting payment separately for each age group to aid the investigation.</w:t>
      </w:r>
    </w:p>
    <w:p w14:paraId="1997117C" w14:textId="77777777" w:rsidR="00D17F41" w:rsidRDefault="00995462" w:rsidP="004D2434">
      <w:pPr>
        <w:pStyle w:val="ListParagraph"/>
        <w:numPr>
          <w:ilvl w:val="0"/>
          <w:numId w:val="6"/>
        </w:numPr>
        <w:spacing w:after="180"/>
        <w:ind w:left="357" w:hanging="357"/>
      </w:pPr>
      <w:r w:rsidRPr="00AC0FCA">
        <w:t>Obtain a peer review of the work performed</w:t>
      </w:r>
      <w:r w:rsidR="00AB7EB9">
        <w:t>.</w:t>
      </w:r>
      <w:r w:rsidR="004D2434">
        <w:tab/>
      </w:r>
      <w:r w:rsidR="004D2434">
        <w:tab/>
      </w:r>
    </w:p>
    <w:p w14:paraId="162F4FB0" w14:textId="77777777" w:rsidR="00EB7758" w:rsidRDefault="00EB7758">
      <w:pPr>
        <w:jc w:val="center"/>
        <w:rPr>
          <w:rFonts w:cs="Times New Roman"/>
          <w:b/>
          <w:sz w:val="30"/>
          <w:szCs w:val="30"/>
        </w:rPr>
      </w:pPr>
    </w:p>
    <w:p w14:paraId="2FE03886" w14:textId="77777777" w:rsidR="00117EDB" w:rsidRPr="00117EDB" w:rsidRDefault="00E1726A">
      <w:pPr>
        <w:jc w:val="center"/>
        <w:rPr>
          <w:rFonts w:cs="Times New Roman"/>
          <w:b/>
          <w:sz w:val="30"/>
          <w:szCs w:val="30"/>
        </w:rPr>
      </w:pPr>
      <w:r>
        <w:rPr>
          <w:rFonts w:cs="Times New Roman"/>
          <w:b/>
          <w:sz w:val="30"/>
          <w:szCs w:val="30"/>
        </w:rPr>
        <w:t xml:space="preserve">END OF </w:t>
      </w:r>
      <w:r w:rsidR="00A62D06">
        <w:rPr>
          <w:rFonts w:cs="Times New Roman"/>
          <w:b/>
          <w:sz w:val="30"/>
          <w:szCs w:val="30"/>
        </w:rPr>
        <w:t>SUMMARY</w:t>
      </w:r>
    </w:p>
    <w:sectPr w:rsidR="00117EDB" w:rsidRPr="00117EDB" w:rsidSect="00885553">
      <w:pgSz w:w="11906" w:h="16838" w:code="9"/>
      <w:pgMar w:top="1245" w:right="1440" w:bottom="1440" w:left="1440"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7C7FE" w14:textId="77777777" w:rsidR="00C71082" w:rsidRDefault="00C71082" w:rsidP="005E105D">
      <w:r>
        <w:separator/>
      </w:r>
    </w:p>
  </w:endnote>
  <w:endnote w:type="continuationSeparator" w:id="0">
    <w:p w14:paraId="7E4B302D" w14:textId="77777777" w:rsidR="00C71082" w:rsidRDefault="00C71082" w:rsidP="005E1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5765C" w14:textId="77777777" w:rsidR="00A52875" w:rsidRPr="005E105D" w:rsidRDefault="00A52875" w:rsidP="005E105D">
    <w:pPr>
      <w:pStyle w:val="Footer"/>
    </w:pPr>
    <w:r w:rsidRPr="005E105D">
      <w:rPr>
        <w:szCs w:val="24"/>
      </w:rPr>
      <w:t xml:space="preserve">Page </w:t>
    </w:r>
    <w:r w:rsidRPr="005E105D">
      <w:rPr>
        <w:szCs w:val="24"/>
      </w:rPr>
      <w:fldChar w:fldCharType="begin"/>
    </w:r>
    <w:r w:rsidRPr="005E105D">
      <w:rPr>
        <w:szCs w:val="24"/>
      </w:rPr>
      <w:instrText xml:space="preserve"> PAGE   \* MERGEFORMAT </w:instrText>
    </w:r>
    <w:r w:rsidRPr="005E105D">
      <w:rPr>
        <w:szCs w:val="24"/>
      </w:rPr>
      <w:fldChar w:fldCharType="separate"/>
    </w:r>
    <w:r w:rsidR="00B54872">
      <w:rPr>
        <w:noProof/>
        <w:szCs w:val="24"/>
      </w:rPr>
      <w:t>10</w:t>
    </w:r>
    <w:r w:rsidRPr="005E105D">
      <w:rPr>
        <w:noProof/>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03D9D" w14:textId="77777777" w:rsidR="00A52875" w:rsidRPr="005E105D" w:rsidRDefault="00A52875" w:rsidP="005E105D">
    <w:pPr>
      <w:tabs>
        <w:tab w:val="right" w:pos="9000"/>
      </w:tabs>
      <w:jc w:val="right"/>
      <w:rPr>
        <w:rFonts w:cs="Times New Roman"/>
        <w:szCs w:val="24"/>
      </w:rPr>
    </w:pPr>
    <w:r>
      <w:rPr>
        <w:rFonts w:cs="Times New Roman"/>
        <w:szCs w:val="24"/>
      </w:rPr>
      <w:tab/>
    </w:r>
    <w:r w:rsidRPr="005E105D">
      <w:rPr>
        <w:rFonts w:cs="Times New Roman"/>
        <w:szCs w:val="24"/>
      </w:rPr>
      <w:t xml:space="preserve">Page </w:t>
    </w:r>
    <w:r w:rsidRPr="005E105D">
      <w:rPr>
        <w:rFonts w:cs="Times New Roman"/>
        <w:szCs w:val="24"/>
      </w:rPr>
      <w:fldChar w:fldCharType="begin"/>
    </w:r>
    <w:r w:rsidRPr="005E105D">
      <w:rPr>
        <w:rFonts w:cs="Times New Roman"/>
        <w:szCs w:val="24"/>
      </w:rPr>
      <w:instrText xml:space="preserve"> PAGE   \* MERGEFORMAT </w:instrText>
    </w:r>
    <w:r w:rsidRPr="005E105D">
      <w:rPr>
        <w:rFonts w:cs="Times New Roman"/>
        <w:szCs w:val="24"/>
      </w:rPr>
      <w:fldChar w:fldCharType="separate"/>
    </w:r>
    <w:r w:rsidR="00B54872">
      <w:rPr>
        <w:rFonts w:cs="Times New Roman"/>
        <w:noProof/>
        <w:szCs w:val="24"/>
      </w:rPr>
      <w:t>11</w:t>
    </w:r>
    <w:r w:rsidRPr="005E105D">
      <w:rPr>
        <w:rFonts w:cs="Times New Roman"/>
        <w:noProof/>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A7086" w14:textId="77777777" w:rsidR="00A52875" w:rsidRDefault="00A52875" w:rsidP="00E6365E">
    <w:pPr>
      <w:pStyle w:val="Footer"/>
      <w:jc w:val="right"/>
    </w:pPr>
    <w:r w:rsidRPr="005E105D">
      <w:rPr>
        <w:szCs w:val="24"/>
      </w:rPr>
      <w:sym w:font="Symbol" w:char="F0E3"/>
    </w:r>
    <w:r w:rsidRPr="005E105D">
      <w:rPr>
        <w:szCs w:val="24"/>
      </w:rPr>
      <w:t xml:space="preserve"> Institute and Faculty of Actuaries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98EE6" w14:textId="77777777" w:rsidR="00C71082" w:rsidRDefault="00C71082" w:rsidP="005E105D">
      <w:r>
        <w:separator/>
      </w:r>
    </w:p>
  </w:footnote>
  <w:footnote w:type="continuationSeparator" w:id="0">
    <w:p w14:paraId="2EEFBD4C" w14:textId="77777777" w:rsidR="00C71082" w:rsidRDefault="00C71082" w:rsidP="005E1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E6DCE" w14:textId="17687093" w:rsidR="00A52875" w:rsidRDefault="00A015A5" w:rsidP="00E6365E">
    <w:pPr>
      <w:pStyle w:val="Header"/>
      <w:jc w:val="center"/>
    </w:pPr>
    <w:r>
      <w:rPr>
        <w:i/>
        <w:szCs w:val="24"/>
      </w:rPr>
      <w:t>Subject CP</w:t>
    </w:r>
    <w:r w:rsidR="00A52875">
      <w:rPr>
        <w:i/>
        <w:szCs w:val="24"/>
      </w:rPr>
      <w:t>2</w:t>
    </w:r>
    <w:r w:rsidR="00A52875" w:rsidRPr="00E6365E">
      <w:rPr>
        <w:i/>
        <w:szCs w:val="24"/>
      </w:rPr>
      <w:t xml:space="preserve"> Paper </w:t>
    </w:r>
    <w:r w:rsidR="00A52875">
      <w:rPr>
        <w:i/>
        <w:szCs w:val="24"/>
      </w:rPr>
      <w:t>2, April 2019, Summary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DF07E" w14:textId="2A62C80D" w:rsidR="00A52875" w:rsidRPr="00E6365E" w:rsidRDefault="00A015A5" w:rsidP="007F210B">
    <w:pPr>
      <w:pStyle w:val="Header"/>
      <w:jc w:val="center"/>
      <w:rPr>
        <w:i/>
        <w:szCs w:val="24"/>
      </w:rPr>
    </w:pPr>
    <w:r>
      <w:rPr>
        <w:i/>
        <w:szCs w:val="24"/>
      </w:rPr>
      <w:t>Subject CP</w:t>
    </w:r>
    <w:r w:rsidR="00A52875">
      <w:rPr>
        <w:i/>
        <w:szCs w:val="24"/>
      </w:rPr>
      <w:t>2</w:t>
    </w:r>
    <w:r w:rsidR="00A52875" w:rsidRPr="00E6365E">
      <w:rPr>
        <w:i/>
        <w:szCs w:val="24"/>
      </w:rPr>
      <w:t xml:space="preserve"> Paper </w:t>
    </w:r>
    <w:r w:rsidR="00A52875">
      <w:rPr>
        <w:i/>
        <w:szCs w:val="24"/>
      </w:rPr>
      <w:t>2</w:t>
    </w:r>
    <w:r w:rsidR="00A52875" w:rsidRPr="00E6365E">
      <w:rPr>
        <w:i/>
        <w:szCs w:val="24"/>
      </w:rPr>
      <w:t xml:space="preserve">, </w:t>
    </w:r>
    <w:r w:rsidR="00A52875">
      <w:rPr>
        <w:i/>
        <w:szCs w:val="24"/>
      </w:rPr>
      <w:t>April 2019</w:t>
    </w:r>
    <w:r w:rsidR="00A52875" w:rsidRPr="00E6365E">
      <w:rPr>
        <w:i/>
        <w:szCs w:val="24"/>
      </w:rPr>
      <w:t xml:space="preserve">, </w:t>
    </w:r>
    <w:r w:rsidR="00A52875">
      <w:rPr>
        <w:i/>
        <w:szCs w:val="24"/>
      </w:rPr>
      <w:t>Summary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A4320"/>
    <w:multiLevelType w:val="hybridMultilevel"/>
    <w:tmpl w:val="C3400310"/>
    <w:lvl w:ilvl="0" w:tplc="90661F18">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23D5E"/>
    <w:multiLevelType w:val="hybridMultilevel"/>
    <w:tmpl w:val="0E346014"/>
    <w:lvl w:ilvl="0" w:tplc="D510889A">
      <w:start w:val="1"/>
      <w:numFmt w:val="bullet"/>
      <w:lvlText w:val="-"/>
      <w:lvlJc w:val="left"/>
      <w:pPr>
        <w:ind w:left="144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9161E"/>
    <w:multiLevelType w:val="hybridMultilevel"/>
    <w:tmpl w:val="E06AE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81736"/>
    <w:multiLevelType w:val="hybridMultilevel"/>
    <w:tmpl w:val="3F4CB1F4"/>
    <w:lvl w:ilvl="0" w:tplc="7BE2F97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767F46"/>
    <w:multiLevelType w:val="hybridMultilevel"/>
    <w:tmpl w:val="36E67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74633"/>
    <w:multiLevelType w:val="hybridMultilevel"/>
    <w:tmpl w:val="AB6CF4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B168D"/>
    <w:multiLevelType w:val="hybridMultilevel"/>
    <w:tmpl w:val="9FB0D0BC"/>
    <w:lvl w:ilvl="0" w:tplc="04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1E1E12F6"/>
    <w:multiLevelType w:val="hybridMultilevel"/>
    <w:tmpl w:val="41249528"/>
    <w:lvl w:ilvl="0" w:tplc="04090001">
      <w:start w:val="1"/>
      <w:numFmt w:val="bullet"/>
      <w:lvlText w:val=""/>
      <w:lvlJc w:val="left"/>
      <w:pPr>
        <w:ind w:left="720" w:hanging="360"/>
      </w:pPr>
      <w:rPr>
        <w:rFonts w:ascii="Symbol" w:hAnsi="Symbol" w:hint="default"/>
      </w:rPr>
    </w:lvl>
    <w:lvl w:ilvl="1" w:tplc="1BE23266">
      <w:start w:val="1"/>
      <w:numFmt w:val="bullet"/>
      <w:lvlText w:val="-"/>
      <w:lvlJc w:val="left"/>
      <w:pPr>
        <w:ind w:left="1636"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2809A9"/>
    <w:multiLevelType w:val="hybridMultilevel"/>
    <w:tmpl w:val="B7F25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5072D3"/>
    <w:multiLevelType w:val="hybridMultilevel"/>
    <w:tmpl w:val="B0C856AA"/>
    <w:lvl w:ilvl="0" w:tplc="D510889A">
      <w:start w:val="1"/>
      <w:numFmt w:val="bullet"/>
      <w:lvlText w:val="-"/>
      <w:lvlJc w:val="left"/>
      <w:pPr>
        <w:ind w:left="1800" w:hanging="360"/>
      </w:pPr>
      <w:rPr>
        <w:rFonts w:ascii="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26A258BA"/>
    <w:multiLevelType w:val="hybridMultilevel"/>
    <w:tmpl w:val="48428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C5043A"/>
    <w:multiLevelType w:val="hybridMultilevel"/>
    <w:tmpl w:val="8D4048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C6228D"/>
    <w:multiLevelType w:val="hybridMultilevel"/>
    <w:tmpl w:val="567E8A8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DB039B"/>
    <w:multiLevelType w:val="hybridMultilevel"/>
    <w:tmpl w:val="5F3854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15B2505"/>
    <w:multiLevelType w:val="hybridMultilevel"/>
    <w:tmpl w:val="718C9C40"/>
    <w:lvl w:ilvl="0" w:tplc="08090001">
      <w:start w:val="1"/>
      <w:numFmt w:val="bullet"/>
      <w:lvlText w:val=""/>
      <w:lvlJc w:val="left"/>
      <w:pPr>
        <w:ind w:left="360" w:hanging="360"/>
      </w:pPr>
      <w:rPr>
        <w:rFonts w:ascii="Symbol" w:hAnsi="Symbol" w:hint="default"/>
      </w:rPr>
    </w:lvl>
    <w:lvl w:ilvl="1" w:tplc="B5E46240">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30E649A"/>
    <w:multiLevelType w:val="hybridMultilevel"/>
    <w:tmpl w:val="7A8A60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86A7A6F"/>
    <w:multiLevelType w:val="hybridMultilevel"/>
    <w:tmpl w:val="A922EB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91E78F2"/>
    <w:multiLevelType w:val="hybridMultilevel"/>
    <w:tmpl w:val="47A60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63294C"/>
    <w:multiLevelType w:val="hybridMultilevel"/>
    <w:tmpl w:val="F2925204"/>
    <w:lvl w:ilvl="0" w:tplc="90661F18">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B672C31"/>
    <w:multiLevelType w:val="hybridMultilevel"/>
    <w:tmpl w:val="F08E0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064B71"/>
    <w:multiLevelType w:val="hybridMultilevel"/>
    <w:tmpl w:val="32043384"/>
    <w:lvl w:ilvl="0" w:tplc="90661F18">
      <w:start w:val="1"/>
      <w:numFmt w:val="bullet"/>
      <w:lvlText w:val="–"/>
      <w:lvlJc w:val="left"/>
      <w:pPr>
        <w:ind w:left="1440" w:hanging="360"/>
      </w:pPr>
      <w:rPr>
        <w:rFonts w:ascii="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00C45C2"/>
    <w:multiLevelType w:val="hybridMultilevel"/>
    <w:tmpl w:val="B3A0B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B93AD2"/>
    <w:multiLevelType w:val="hybridMultilevel"/>
    <w:tmpl w:val="71A8CC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0145F1"/>
    <w:multiLevelType w:val="hybridMultilevel"/>
    <w:tmpl w:val="DDAC9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7C0D4B"/>
    <w:multiLevelType w:val="hybridMultilevel"/>
    <w:tmpl w:val="5E2637A2"/>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5" w15:restartNumberingAfterBreak="0">
    <w:nsid w:val="4AF966CB"/>
    <w:multiLevelType w:val="hybridMultilevel"/>
    <w:tmpl w:val="AF76F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2B781E"/>
    <w:multiLevelType w:val="hybridMultilevel"/>
    <w:tmpl w:val="FB686F9E"/>
    <w:lvl w:ilvl="0" w:tplc="69EC2308">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B6154B"/>
    <w:multiLevelType w:val="hybridMultilevel"/>
    <w:tmpl w:val="054A3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8F4255"/>
    <w:multiLevelType w:val="hybridMultilevel"/>
    <w:tmpl w:val="171C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52657"/>
    <w:multiLevelType w:val="hybridMultilevel"/>
    <w:tmpl w:val="2F60F2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46117E"/>
    <w:multiLevelType w:val="hybridMultilevel"/>
    <w:tmpl w:val="480ED2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2D83FCE"/>
    <w:multiLevelType w:val="hybridMultilevel"/>
    <w:tmpl w:val="CA3CD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FD23BA"/>
    <w:multiLevelType w:val="hybridMultilevel"/>
    <w:tmpl w:val="904EA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5404C9"/>
    <w:multiLevelType w:val="hybridMultilevel"/>
    <w:tmpl w:val="893E7F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2B34C3"/>
    <w:multiLevelType w:val="hybridMultilevel"/>
    <w:tmpl w:val="735043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27719E"/>
    <w:multiLevelType w:val="hybridMultilevel"/>
    <w:tmpl w:val="5C42D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406D34"/>
    <w:multiLevelType w:val="hybridMultilevel"/>
    <w:tmpl w:val="6944C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FC1585"/>
    <w:multiLevelType w:val="hybridMultilevel"/>
    <w:tmpl w:val="AE1A88DC"/>
    <w:lvl w:ilvl="0" w:tplc="90661F18">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20277D4"/>
    <w:multiLevelType w:val="hybridMultilevel"/>
    <w:tmpl w:val="C61CB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1732BC"/>
    <w:multiLevelType w:val="hybridMultilevel"/>
    <w:tmpl w:val="03FC462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64292A"/>
    <w:multiLevelType w:val="hybridMultilevel"/>
    <w:tmpl w:val="069E2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E882D84">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601E7"/>
    <w:multiLevelType w:val="hybridMultilevel"/>
    <w:tmpl w:val="5AE44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221026"/>
    <w:multiLevelType w:val="hybridMultilevel"/>
    <w:tmpl w:val="B4220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4D2B4B"/>
    <w:multiLevelType w:val="hybridMultilevel"/>
    <w:tmpl w:val="24DEDA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F66FA0"/>
    <w:multiLevelType w:val="hybridMultilevel"/>
    <w:tmpl w:val="7B8AF4AC"/>
    <w:lvl w:ilvl="0" w:tplc="04090001">
      <w:start w:val="1"/>
      <w:numFmt w:val="bullet"/>
      <w:lvlText w:val=""/>
      <w:lvlJc w:val="left"/>
      <w:pPr>
        <w:ind w:left="720" w:hanging="360"/>
      </w:pPr>
      <w:rPr>
        <w:rFonts w:ascii="Symbol" w:hAnsi="Symbol" w:hint="default"/>
      </w:rPr>
    </w:lvl>
    <w:lvl w:ilvl="1" w:tplc="147C40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B96388"/>
    <w:multiLevelType w:val="hybridMultilevel"/>
    <w:tmpl w:val="6D7A79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E7766AB"/>
    <w:multiLevelType w:val="hybridMultilevel"/>
    <w:tmpl w:val="0974190E"/>
    <w:lvl w:ilvl="0" w:tplc="08090001">
      <w:start w:val="1"/>
      <w:numFmt w:val="bullet"/>
      <w:lvlText w:val=""/>
      <w:lvlJc w:val="left"/>
      <w:pPr>
        <w:ind w:left="423" w:hanging="360"/>
      </w:pPr>
      <w:rPr>
        <w:rFonts w:ascii="Symbol" w:hAnsi="Symbol" w:hint="default"/>
      </w:rPr>
    </w:lvl>
    <w:lvl w:ilvl="1" w:tplc="08090003" w:tentative="1">
      <w:start w:val="1"/>
      <w:numFmt w:val="bullet"/>
      <w:lvlText w:val="o"/>
      <w:lvlJc w:val="left"/>
      <w:pPr>
        <w:ind w:left="1143" w:hanging="360"/>
      </w:pPr>
      <w:rPr>
        <w:rFonts w:ascii="Courier New" w:hAnsi="Courier New" w:cs="Courier New" w:hint="default"/>
      </w:rPr>
    </w:lvl>
    <w:lvl w:ilvl="2" w:tplc="08090005" w:tentative="1">
      <w:start w:val="1"/>
      <w:numFmt w:val="bullet"/>
      <w:lvlText w:val=""/>
      <w:lvlJc w:val="left"/>
      <w:pPr>
        <w:ind w:left="1863" w:hanging="360"/>
      </w:pPr>
      <w:rPr>
        <w:rFonts w:ascii="Wingdings" w:hAnsi="Wingdings" w:hint="default"/>
      </w:rPr>
    </w:lvl>
    <w:lvl w:ilvl="3" w:tplc="08090001" w:tentative="1">
      <w:start w:val="1"/>
      <w:numFmt w:val="bullet"/>
      <w:lvlText w:val=""/>
      <w:lvlJc w:val="left"/>
      <w:pPr>
        <w:ind w:left="2583" w:hanging="360"/>
      </w:pPr>
      <w:rPr>
        <w:rFonts w:ascii="Symbol" w:hAnsi="Symbol" w:hint="default"/>
      </w:rPr>
    </w:lvl>
    <w:lvl w:ilvl="4" w:tplc="08090003" w:tentative="1">
      <w:start w:val="1"/>
      <w:numFmt w:val="bullet"/>
      <w:lvlText w:val="o"/>
      <w:lvlJc w:val="left"/>
      <w:pPr>
        <w:ind w:left="3303" w:hanging="360"/>
      </w:pPr>
      <w:rPr>
        <w:rFonts w:ascii="Courier New" w:hAnsi="Courier New" w:cs="Courier New" w:hint="default"/>
      </w:rPr>
    </w:lvl>
    <w:lvl w:ilvl="5" w:tplc="08090005" w:tentative="1">
      <w:start w:val="1"/>
      <w:numFmt w:val="bullet"/>
      <w:lvlText w:val=""/>
      <w:lvlJc w:val="left"/>
      <w:pPr>
        <w:ind w:left="4023" w:hanging="360"/>
      </w:pPr>
      <w:rPr>
        <w:rFonts w:ascii="Wingdings" w:hAnsi="Wingdings" w:hint="default"/>
      </w:rPr>
    </w:lvl>
    <w:lvl w:ilvl="6" w:tplc="08090001" w:tentative="1">
      <w:start w:val="1"/>
      <w:numFmt w:val="bullet"/>
      <w:lvlText w:val=""/>
      <w:lvlJc w:val="left"/>
      <w:pPr>
        <w:ind w:left="4743" w:hanging="360"/>
      </w:pPr>
      <w:rPr>
        <w:rFonts w:ascii="Symbol" w:hAnsi="Symbol" w:hint="default"/>
      </w:rPr>
    </w:lvl>
    <w:lvl w:ilvl="7" w:tplc="08090003" w:tentative="1">
      <w:start w:val="1"/>
      <w:numFmt w:val="bullet"/>
      <w:lvlText w:val="o"/>
      <w:lvlJc w:val="left"/>
      <w:pPr>
        <w:ind w:left="5463" w:hanging="360"/>
      </w:pPr>
      <w:rPr>
        <w:rFonts w:ascii="Courier New" w:hAnsi="Courier New" w:cs="Courier New" w:hint="default"/>
      </w:rPr>
    </w:lvl>
    <w:lvl w:ilvl="8" w:tplc="08090005" w:tentative="1">
      <w:start w:val="1"/>
      <w:numFmt w:val="bullet"/>
      <w:lvlText w:val=""/>
      <w:lvlJc w:val="left"/>
      <w:pPr>
        <w:ind w:left="6183" w:hanging="360"/>
      </w:pPr>
      <w:rPr>
        <w:rFonts w:ascii="Wingdings" w:hAnsi="Wingdings" w:hint="default"/>
      </w:rPr>
    </w:lvl>
  </w:abstractNum>
  <w:abstractNum w:abstractNumId="47" w15:restartNumberingAfterBreak="0">
    <w:nsid w:val="7F0D718E"/>
    <w:multiLevelType w:val="hybridMultilevel"/>
    <w:tmpl w:val="678CE054"/>
    <w:lvl w:ilvl="0" w:tplc="90661F18">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6"/>
  </w:num>
  <w:num w:numId="3">
    <w:abstractNumId w:val="28"/>
  </w:num>
  <w:num w:numId="4">
    <w:abstractNumId w:val="42"/>
  </w:num>
  <w:num w:numId="5">
    <w:abstractNumId w:val="40"/>
  </w:num>
  <w:num w:numId="6">
    <w:abstractNumId w:val="44"/>
  </w:num>
  <w:num w:numId="7">
    <w:abstractNumId w:val="31"/>
  </w:num>
  <w:num w:numId="8">
    <w:abstractNumId w:val="21"/>
  </w:num>
  <w:num w:numId="9">
    <w:abstractNumId w:val="12"/>
  </w:num>
  <w:num w:numId="10">
    <w:abstractNumId w:val="6"/>
  </w:num>
  <w:num w:numId="11">
    <w:abstractNumId w:val="5"/>
  </w:num>
  <w:num w:numId="12">
    <w:abstractNumId w:val="15"/>
  </w:num>
  <w:num w:numId="13">
    <w:abstractNumId w:val="23"/>
  </w:num>
  <w:num w:numId="14">
    <w:abstractNumId w:val="10"/>
  </w:num>
  <w:num w:numId="15">
    <w:abstractNumId w:val="32"/>
  </w:num>
  <w:num w:numId="16">
    <w:abstractNumId w:val="46"/>
  </w:num>
  <w:num w:numId="17">
    <w:abstractNumId w:val="11"/>
  </w:num>
  <w:num w:numId="18">
    <w:abstractNumId w:val="26"/>
  </w:num>
  <w:num w:numId="19">
    <w:abstractNumId w:val="14"/>
  </w:num>
  <w:num w:numId="20">
    <w:abstractNumId w:val="27"/>
  </w:num>
  <w:num w:numId="21">
    <w:abstractNumId w:val="39"/>
  </w:num>
  <w:num w:numId="22">
    <w:abstractNumId w:val="1"/>
  </w:num>
  <w:num w:numId="23">
    <w:abstractNumId w:val="9"/>
  </w:num>
  <w:num w:numId="24">
    <w:abstractNumId w:val="20"/>
  </w:num>
  <w:num w:numId="25">
    <w:abstractNumId w:val="7"/>
  </w:num>
  <w:num w:numId="26">
    <w:abstractNumId w:val="0"/>
  </w:num>
  <w:num w:numId="27">
    <w:abstractNumId w:val="47"/>
  </w:num>
  <w:num w:numId="28">
    <w:abstractNumId w:val="3"/>
  </w:num>
  <w:num w:numId="29">
    <w:abstractNumId w:val="37"/>
  </w:num>
  <w:num w:numId="30">
    <w:abstractNumId w:val="29"/>
  </w:num>
  <w:num w:numId="31">
    <w:abstractNumId w:val="18"/>
  </w:num>
  <w:num w:numId="32">
    <w:abstractNumId w:val="19"/>
  </w:num>
  <w:num w:numId="33">
    <w:abstractNumId w:val="43"/>
  </w:num>
  <w:num w:numId="34">
    <w:abstractNumId w:val="38"/>
  </w:num>
  <w:num w:numId="35">
    <w:abstractNumId w:val="41"/>
  </w:num>
  <w:num w:numId="36">
    <w:abstractNumId w:val="35"/>
  </w:num>
  <w:num w:numId="37">
    <w:abstractNumId w:val="33"/>
  </w:num>
  <w:num w:numId="38">
    <w:abstractNumId w:val="25"/>
  </w:num>
  <w:num w:numId="39">
    <w:abstractNumId w:val="8"/>
  </w:num>
  <w:num w:numId="40">
    <w:abstractNumId w:val="30"/>
  </w:num>
  <w:num w:numId="41">
    <w:abstractNumId w:val="34"/>
  </w:num>
  <w:num w:numId="42">
    <w:abstractNumId w:val="16"/>
  </w:num>
  <w:num w:numId="43">
    <w:abstractNumId w:val="2"/>
  </w:num>
  <w:num w:numId="44">
    <w:abstractNumId w:val="17"/>
  </w:num>
  <w:num w:numId="45">
    <w:abstractNumId w:val="4"/>
  </w:num>
  <w:num w:numId="46">
    <w:abstractNumId w:val="24"/>
  </w:num>
  <w:num w:numId="47">
    <w:abstractNumId w:val="22"/>
  </w:num>
  <w:num w:numId="48">
    <w:abstractNumId w:val="4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5D"/>
    <w:rsid w:val="000018B5"/>
    <w:rsid w:val="00005BF8"/>
    <w:rsid w:val="00012C1F"/>
    <w:rsid w:val="00020546"/>
    <w:rsid w:val="000345E5"/>
    <w:rsid w:val="00035315"/>
    <w:rsid w:val="000355EF"/>
    <w:rsid w:val="00040B8C"/>
    <w:rsid w:val="0004233D"/>
    <w:rsid w:val="0004711A"/>
    <w:rsid w:val="00047BB9"/>
    <w:rsid w:val="0005199B"/>
    <w:rsid w:val="00051C5D"/>
    <w:rsid w:val="000542D8"/>
    <w:rsid w:val="00054B47"/>
    <w:rsid w:val="000637A0"/>
    <w:rsid w:val="00067F7C"/>
    <w:rsid w:val="000709F2"/>
    <w:rsid w:val="00077586"/>
    <w:rsid w:val="00082EBF"/>
    <w:rsid w:val="00083C34"/>
    <w:rsid w:val="00085C9E"/>
    <w:rsid w:val="00086FEB"/>
    <w:rsid w:val="000A1F9F"/>
    <w:rsid w:val="000A5E2A"/>
    <w:rsid w:val="000A6746"/>
    <w:rsid w:val="000A7450"/>
    <w:rsid w:val="000A796C"/>
    <w:rsid w:val="000D0B5B"/>
    <w:rsid w:val="000D6A0A"/>
    <w:rsid w:val="000F4194"/>
    <w:rsid w:val="000F4FB6"/>
    <w:rsid w:val="000F575A"/>
    <w:rsid w:val="00101025"/>
    <w:rsid w:val="00106CBD"/>
    <w:rsid w:val="001071FD"/>
    <w:rsid w:val="00117EDB"/>
    <w:rsid w:val="00126AF2"/>
    <w:rsid w:val="00133E2D"/>
    <w:rsid w:val="00135F76"/>
    <w:rsid w:val="0013677D"/>
    <w:rsid w:val="00140056"/>
    <w:rsid w:val="001415B3"/>
    <w:rsid w:val="00152E3C"/>
    <w:rsid w:val="00154A27"/>
    <w:rsid w:val="00156B70"/>
    <w:rsid w:val="00160B3B"/>
    <w:rsid w:val="00164AF2"/>
    <w:rsid w:val="001660EA"/>
    <w:rsid w:val="001664B3"/>
    <w:rsid w:val="001668FD"/>
    <w:rsid w:val="00172A05"/>
    <w:rsid w:val="001764B1"/>
    <w:rsid w:val="00176CFA"/>
    <w:rsid w:val="00177747"/>
    <w:rsid w:val="00185FA6"/>
    <w:rsid w:val="0019647A"/>
    <w:rsid w:val="001A12F0"/>
    <w:rsid w:val="001B3964"/>
    <w:rsid w:val="001C0A63"/>
    <w:rsid w:val="001C1F6F"/>
    <w:rsid w:val="001D1FCC"/>
    <w:rsid w:val="001E46A5"/>
    <w:rsid w:val="001F32C5"/>
    <w:rsid w:val="001F39CD"/>
    <w:rsid w:val="001F3CC8"/>
    <w:rsid w:val="001F5EF0"/>
    <w:rsid w:val="001F75BF"/>
    <w:rsid w:val="002015EF"/>
    <w:rsid w:val="00210729"/>
    <w:rsid w:val="00213FB9"/>
    <w:rsid w:val="00214C8C"/>
    <w:rsid w:val="00216811"/>
    <w:rsid w:val="00216EE6"/>
    <w:rsid w:val="00225F75"/>
    <w:rsid w:val="0023307A"/>
    <w:rsid w:val="00242B61"/>
    <w:rsid w:val="00246A7B"/>
    <w:rsid w:val="00250EB1"/>
    <w:rsid w:val="00251856"/>
    <w:rsid w:val="00253B17"/>
    <w:rsid w:val="00253E07"/>
    <w:rsid w:val="0025635F"/>
    <w:rsid w:val="00260CF0"/>
    <w:rsid w:val="00262DED"/>
    <w:rsid w:val="002641BA"/>
    <w:rsid w:val="00264946"/>
    <w:rsid w:val="00265F3A"/>
    <w:rsid w:val="00271570"/>
    <w:rsid w:val="00271DCC"/>
    <w:rsid w:val="00273C15"/>
    <w:rsid w:val="00274822"/>
    <w:rsid w:val="00276E53"/>
    <w:rsid w:val="00286C95"/>
    <w:rsid w:val="002A0B24"/>
    <w:rsid w:val="002B793B"/>
    <w:rsid w:val="002C5050"/>
    <w:rsid w:val="002E2DCC"/>
    <w:rsid w:val="002E4FC7"/>
    <w:rsid w:val="002F37FD"/>
    <w:rsid w:val="003037BC"/>
    <w:rsid w:val="00305F8D"/>
    <w:rsid w:val="00307E9F"/>
    <w:rsid w:val="003179F9"/>
    <w:rsid w:val="003258E9"/>
    <w:rsid w:val="003266DA"/>
    <w:rsid w:val="00331DAB"/>
    <w:rsid w:val="00337043"/>
    <w:rsid w:val="003377F6"/>
    <w:rsid w:val="00340428"/>
    <w:rsid w:val="0034219B"/>
    <w:rsid w:val="00344DFD"/>
    <w:rsid w:val="0034688A"/>
    <w:rsid w:val="00353CC1"/>
    <w:rsid w:val="00364A94"/>
    <w:rsid w:val="003704E8"/>
    <w:rsid w:val="00370FF2"/>
    <w:rsid w:val="00381A67"/>
    <w:rsid w:val="00382706"/>
    <w:rsid w:val="00382D0B"/>
    <w:rsid w:val="00386270"/>
    <w:rsid w:val="00396DBF"/>
    <w:rsid w:val="003A223B"/>
    <w:rsid w:val="003B0679"/>
    <w:rsid w:val="003C5173"/>
    <w:rsid w:val="003D04AA"/>
    <w:rsid w:val="003D28FD"/>
    <w:rsid w:val="003D628A"/>
    <w:rsid w:val="003F7639"/>
    <w:rsid w:val="00402807"/>
    <w:rsid w:val="00424908"/>
    <w:rsid w:val="004273D2"/>
    <w:rsid w:val="00431465"/>
    <w:rsid w:val="00447321"/>
    <w:rsid w:val="00452F16"/>
    <w:rsid w:val="004575EA"/>
    <w:rsid w:val="00465783"/>
    <w:rsid w:val="00465B52"/>
    <w:rsid w:val="00480092"/>
    <w:rsid w:val="0048224A"/>
    <w:rsid w:val="00482E9F"/>
    <w:rsid w:val="00483A46"/>
    <w:rsid w:val="004910E5"/>
    <w:rsid w:val="0049146C"/>
    <w:rsid w:val="0049793C"/>
    <w:rsid w:val="004A299C"/>
    <w:rsid w:val="004A7805"/>
    <w:rsid w:val="004B02F7"/>
    <w:rsid w:val="004B64F0"/>
    <w:rsid w:val="004B68A9"/>
    <w:rsid w:val="004C2F47"/>
    <w:rsid w:val="004C730F"/>
    <w:rsid w:val="004D2434"/>
    <w:rsid w:val="004D417E"/>
    <w:rsid w:val="004D4582"/>
    <w:rsid w:val="004E1A1D"/>
    <w:rsid w:val="004E38FD"/>
    <w:rsid w:val="004F3B53"/>
    <w:rsid w:val="004F565C"/>
    <w:rsid w:val="004F7A92"/>
    <w:rsid w:val="0050036A"/>
    <w:rsid w:val="00501ED7"/>
    <w:rsid w:val="00511A6F"/>
    <w:rsid w:val="0051746F"/>
    <w:rsid w:val="005214A9"/>
    <w:rsid w:val="00524B05"/>
    <w:rsid w:val="00530C2D"/>
    <w:rsid w:val="0053222C"/>
    <w:rsid w:val="00542C67"/>
    <w:rsid w:val="00545F9A"/>
    <w:rsid w:val="0054709F"/>
    <w:rsid w:val="005473CA"/>
    <w:rsid w:val="00552379"/>
    <w:rsid w:val="0055606E"/>
    <w:rsid w:val="00561F29"/>
    <w:rsid w:val="00562F31"/>
    <w:rsid w:val="00570B58"/>
    <w:rsid w:val="00573C27"/>
    <w:rsid w:val="005742DE"/>
    <w:rsid w:val="005854DE"/>
    <w:rsid w:val="005868FA"/>
    <w:rsid w:val="00597799"/>
    <w:rsid w:val="005A20B6"/>
    <w:rsid w:val="005A2F71"/>
    <w:rsid w:val="005A51DE"/>
    <w:rsid w:val="005A68BD"/>
    <w:rsid w:val="005B32C0"/>
    <w:rsid w:val="005B3CC5"/>
    <w:rsid w:val="005B479E"/>
    <w:rsid w:val="005B71E7"/>
    <w:rsid w:val="005C02F3"/>
    <w:rsid w:val="005C4745"/>
    <w:rsid w:val="005D021C"/>
    <w:rsid w:val="005D1547"/>
    <w:rsid w:val="005D4F55"/>
    <w:rsid w:val="005E105D"/>
    <w:rsid w:val="005F2A36"/>
    <w:rsid w:val="00603F66"/>
    <w:rsid w:val="00611C78"/>
    <w:rsid w:val="00613856"/>
    <w:rsid w:val="00620F00"/>
    <w:rsid w:val="006252E1"/>
    <w:rsid w:val="00625B31"/>
    <w:rsid w:val="0062601B"/>
    <w:rsid w:val="006308E3"/>
    <w:rsid w:val="0063092E"/>
    <w:rsid w:val="00637504"/>
    <w:rsid w:val="00641124"/>
    <w:rsid w:val="00660814"/>
    <w:rsid w:val="00662165"/>
    <w:rsid w:val="006674A9"/>
    <w:rsid w:val="00673248"/>
    <w:rsid w:val="006757D1"/>
    <w:rsid w:val="0068300C"/>
    <w:rsid w:val="00683CC6"/>
    <w:rsid w:val="00687ECE"/>
    <w:rsid w:val="0069103D"/>
    <w:rsid w:val="006A155C"/>
    <w:rsid w:val="006A6E44"/>
    <w:rsid w:val="006A7651"/>
    <w:rsid w:val="006B1EB8"/>
    <w:rsid w:val="006B216C"/>
    <w:rsid w:val="006B646D"/>
    <w:rsid w:val="006C6C30"/>
    <w:rsid w:val="006D686E"/>
    <w:rsid w:val="006E06BC"/>
    <w:rsid w:val="006E28E4"/>
    <w:rsid w:val="006E4740"/>
    <w:rsid w:val="006F15A8"/>
    <w:rsid w:val="006F291F"/>
    <w:rsid w:val="006F5B2E"/>
    <w:rsid w:val="006F661E"/>
    <w:rsid w:val="006F6F68"/>
    <w:rsid w:val="007015AD"/>
    <w:rsid w:val="007016D0"/>
    <w:rsid w:val="00705876"/>
    <w:rsid w:val="00706883"/>
    <w:rsid w:val="007102F4"/>
    <w:rsid w:val="00712C8D"/>
    <w:rsid w:val="007230D8"/>
    <w:rsid w:val="00730473"/>
    <w:rsid w:val="007341F0"/>
    <w:rsid w:val="00734DC5"/>
    <w:rsid w:val="00735F65"/>
    <w:rsid w:val="007412EA"/>
    <w:rsid w:val="00745827"/>
    <w:rsid w:val="00745AAD"/>
    <w:rsid w:val="00747166"/>
    <w:rsid w:val="00747A03"/>
    <w:rsid w:val="00752310"/>
    <w:rsid w:val="0075359F"/>
    <w:rsid w:val="00760204"/>
    <w:rsid w:val="00772D7E"/>
    <w:rsid w:val="0077345C"/>
    <w:rsid w:val="0077451F"/>
    <w:rsid w:val="00783070"/>
    <w:rsid w:val="007834A8"/>
    <w:rsid w:val="007848B1"/>
    <w:rsid w:val="00784A4C"/>
    <w:rsid w:val="00792243"/>
    <w:rsid w:val="00793798"/>
    <w:rsid w:val="007957EF"/>
    <w:rsid w:val="007A0B2D"/>
    <w:rsid w:val="007A2D64"/>
    <w:rsid w:val="007C4B24"/>
    <w:rsid w:val="007D462F"/>
    <w:rsid w:val="007D4B14"/>
    <w:rsid w:val="007D6E6C"/>
    <w:rsid w:val="007E2BF0"/>
    <w:rsid w:val="007E683A"/>
    <w:rsid w:val="007F068C"/>
    <w:rsid w:val="007F210B"/>
    <w:rsid w:val="007F5735"/>
    <w:rsid w:val="008019C5"/>
    <w:rsid w:val="008054F6"/>
    <w:rsid w:val="0080684D"/>
    <w:rsid w:val="00811B86"/>
    <w:rsid w:val="00821B11"/>
    <w:rsid w:val="008246BC"/>
    <w:rsid w:val="00832A3E"/>
    <w:rsid w:val="00833CF1"/>
    <w:rsid w:val="00844C04"/>
    <w:rsid w:val="0084537E"/>
    <w:rsid w:val="00846DCC"/>
    <w:rsid w:val="0085264B"/>
    <w:rsid w:val="00853B12"/>
    <w:rsid w:val="00856C83"/>
    <w:rsid w:val="00860AAE"/>
    <w:rsid w:val="008700CB"/>
    <w:rsid w:val="0087446B"/>
    <w:rsid w:val="00880321"/>
    <w:rsid w:val="00883AD9"/>
    <w:rsid w:val="00883D34"/>
    <w:rsid w:val="00885553"/>
    <w:rsid w:val="008904AE"/>
    <w:rsid w:val="0089316D"/>
    <w:rsid w:val="00896951"/>
    <w:rsid w:val="0089733F"/>
    <w:rsid w:val="008B0F1B"/>
    <w:rsid w:val="008B512D"/>
    <w:rsid w:val="008B5767"/>
    <w:rsid w:val="008B7389"/>
    <w:rsid w:val="008C0B30"/>
    <w:rsid w:val="008D0B65"/>
    <w:rsid w:val="008D1110"/>
    <w:rsid w:val="008E1D27"/>
    <w:rsid w:val="008F0A4C"/>
    <w:rsid w:val="008F447A"/>
    <w:rsid w:val="008F4EFF"/>
    <w:rsid w:val="008F75EB"/>
    <w:rsid w:val="00910686"/>
    <w:rsid w:val="00910F34"/>
    <w:rsid w:val="009128A4"/>
    <w:rsid w:val="009150CB"/>
    <w:rsid w:val="00933CFB"/>
    <w:rsid w:val="00955162"/>
    <w:rsid w:val="00955377"/>
    <w:rsid w:val="00966577"/>
    <w:rsid w:val="0097041E"/>
    <w:rsid w:val="009744C7"/>
    <w:rsid w:val="0097765B"/>
    <w:rsid w:val="00981A6A"/>
    <w:rsid w:val="0098659B"/>
    <w:rsid w:val="00995462"/>
    <w:rsid w:val="009961C7"/>
    <w:rsid w:val="009A13E3"/>
    <w:rsid w:val="009A4690"/>
    <w:rsid w:val="009A54FC"/>
    <w:rsid w:val="009A6BD0"/>
    <w:rsid w:val="009A728B"/>
    <w:rsid w:val="009B43EB"/>
    <w:rsid w:val="009B63B1"/>
    <w:rsid w:val="009D1773"/>
    <w:rsid w:val="009D3DDF"/>
    <w:rsid w:val="009D5F73"/>
    <w:rsid w:val="009D67DA"/>
    <w:rsid w:val="009D6C41"/>
    <w:rsid w:val="009D6DC0"/>
    <w:rsid w:val="009E09FC"/>
    <w:rsid w:val="009E6984"/>
    <w:rsid w:val="009F7180"/>
    <w:rsid w:val="00A015A5"/>
    <w:rsid w:val="00A01854"/>
    <w:rsid w:val="00A06F77"/>
    <w:rsid w:val="00A137C9"/>
    <w:rsid w:val="00A167BA"/>
    <w:rsid w:val="00A2110C"/>
    <w:rsid w:val="00A25C9E"/>
    <w:rsid w:val="00A27127"/>
    <w:rsid w:val="00A3125E"/>
    <w:rsid w:val="00A3219F"/>
    <w:rsid w:val="00A3528D"/>
    <w:rsid w:val="00A504FB"/>
    <w:rsid w:val="00A5129F"/>
    <w:rsid w:val="00A52875"/>
    <w:rsid w:val="00A53CAD"/>
    <w:rsid w:val="00A55B61"/>
    <w:rsid w:val="00A61D04"/>
    <w:rsid w:val="00A62D06"/>
    <w:rsid w:val="00A62F11"/>
    <w:rsid w:val="00A64CFA"/>
    <w:rsid w:val="00A66A2B"/>
    <w:rsid w:val="00A67AC9"/>
    <w:rsid w:val="00A7478F"/>
    <w:rsid w:val="00A81D2C"/>
    <w:rsid w:val="00A946E7"/>
    <w:rsid w:val="00A97D82"/>
    <w:rsid w:val="00AA5A10"/>
    <w:rsid w:val="00AA6117"/>
    <w:rsid w:val="00AB55AE"/>
    <w:rsid w:val="00AB5EF7"/>
    <w:rsid w:val="00AB7EB9"/>
    <w:rsid w:val="00AC0FCA"/>
    <w:rsid w:val="00AC7279"/>
    <w:rsid w:val="00AE1C42"/>
    <w:rsid w:val="00AF3A0F"/>
    <w:rsid w:val="00AF5369"/>
    <w:rsid w:val="00B00B28"/>
    <w:rsid w:val="00B073A4"/>
    <w:rsid w:val="00B07EE8"/>
    <w:rsid w:val="00B1290C"/>
    <w:rsid w:val="00B20783"/>
    <w:rsid w:val="00B20827"/>
    <w:rsid w:val="00B26F13"/>
    <w:rsid w:val="00B3177F"/>
    <w:rsid w:val="00B4249A"/>
    <w:rsid w:val="00B45E44"/>
    <w:rsid w:val="00B47B88"/>
    <w:rsid w:val="00B53EAD"/>
    <w:rsid w:val="00B54872"/>
    <w:rsid w:val="00B560EC"/>
    <w:rsid w:val="00B61F98"/>
    <w:rsid w:val="00B64AE8"/>
    <w:rsid w:val="00B66510"/>
    <w:rsid w:val="00B75834"/>
    <w:rsid w:val="00B76139"/>
    <w:rsid w:val="00B771F6"/>
    <w:rsid w:val="00B77489"/>
    <w:rsid w:val="00B867A7"/>
    <w:rsid w:val="00B90805"/>
    <w:rsid w:val="00B92FC1"/>
    <w:rsid w:val="00B946D0"/>
    <w:rsid w:val="00BA4F15"/>
    <w:rsid w:val="00BA74A1"/>
    <w:rsid w:val="00BB09A4"/>
    <w:rsid w:val="00BC2F2C"/>
    <w:rsid w:val="00BD4386"/>
    <w:rsid w:val="00BD5192"/>
    <w:rsid w:val="00BD76CB"/>
    <w:rsid w:val="00BE06E4"/>
    <w:rsid w:val="00BE1DC5"/>
    <w:rsid w:val="00BE38FC"/>
    <w:rsid w:val="00BE6E24"/>
    <w:rsid w:val="00BE7651"/>
    <w:rsid w:val="00BF22DC"/>
    <w:rsid w:val="00BF7702"/>
    <w:rsid w:val="00C0137D"/>
    <w:rsid w:val="00C01FEA"/>
    <w:rsid w:val="00C03903"/>
    <w:rsid w:val="00C0511D"/>
    <w:rsid w:val="00C0709E"/>
    <w:rsid w:val="00C10D63"/>
    <w:rsid w:val="00C1314A"/>
    <w:rsid w:val="00C163FF"/>
    <w:rsid w:val="00C24870"/>
    <w:rsid w:val="00C317CF"/>
    <w:rsid w:val="00C37719"/>
    <w:rsid w:val="00C40271"/>
    <w:rsid w:val="00C44E6C"/>
    <w:rsid w:val="00C45243"/>
    <w:rsid w:val="00C53230"/>
    <w:rsid w:val="00C63004"/>
    <w:rsid w:val="00C63D31"/>
    <w:rsid w:val="00C70792"/>
    <w:rsid w:val="00C71082"/>
    <w:rsid w:val="00C7176A"/>
    <w:rsid w:val="00C76572"/>
    <w:rsid w:val="00C76E3A"/>
    <w:rsid w:val="00C85BFC"/>
    <w:rsid w:val="00C9363A"/>
    <w:rsid w:val="00C94B5A"/>
    <w:rsid w:val="00C9663E"/>
    <w:rsid w:val="00CA17EF"/>
    <w:rsid w:val="00CB49EE"/>
    <w:rsid w:val="00CC062D"/>
    <w:rsid w:val="00CC2690"/>
    <w:rsid w:val="00CC4AAC"/>
    <w:rsid w:val="00CC6214"/>
    <w:rsid w:val="00CD0C30"/>
    <w:rsid w:val="00CD0E4F"/>
    <w:rsid w:val="00CD34EE"/>
    <w:rsid w:val="00CD447A"/>
    <w:rsid w:val="00CD5754"/>
    <w:rsid w:val="00CE4F18"/>
    <w:rsid w:val="00CE5A28"/>
    <w:rsid w:val="00CF0030"/>
    <w:rsid w:val="00CF0F23"/>
    <w:rsid w:val="00CF2552"/>
    <w:rsid w:val="00CF5DD0"/>
    <w:rsid w:val="00D02A01"/>
    <w:rsid w:val="00D02EFD"/>
    <w:rsid w:val="00D14AAD"/>
    <w:rsid w:val="00D17F41"/>
    <w:rsid w:val="00D22486"/>
    <w:rsid w:val="00D23D5C"/>
    <w:rsid w:val="00D304FD"/>
    <w:rsid w:val="00D321A0"/>
    <w:rsid w:val="00D34F77"/>
    <w:rsid w:val="00D45662"/>
    <w:rsid w:val="00D4606F"/>
    <w:rsid w:val="00D46A94"/>
    <w:rsid w:val="00D4731B"/>
    <w:rsid w:val="00D50B29"/>
    <w:rsid w:val="00D6033C"/>
    <w:rsid w:val="00D61777"/>
    <w:rsid w:val="00D62F33"/>
    <w:rsid w:val="00D63F5F"/>
    <w:rsid w:val="00D716BD"/>
    <w:rsid w:val="00D73E8B"/>
    <w:rsid w:val="00D74057"/>
    <w:rsid w:val="00D7663D"/>
    <w:rsid w:val="00D85579"/>
    <w:rsid w:val="00D87627"/>
    <w:rsid w:val="00D92637"/>
    <w:rsid w:val="00DA08F4"/>
    <w:rsid w:val="00DA660A"/>
    <w:rsid w:val="00DB25B6"/>
    <w:rsid w:val="00DC684E"/>
    <w:rsid w:val="00DD11A4"/>
    <w:rsid w:val="00DD228D"/>
    <w:rsid w:val="00DD7F4E"/>
    <w:rsid w:val="00DE024F"/>
    <w:rsid w:val="00DE13CD"/>
    <w:rsid w:val="00DE2EFB"/>
    <w:rsid w:val="00DE3C29"/>
    <w:rsid w:val="00DE4A8F"/>
    <w:rsid w:val="00DE500D"/>
    <w:rsid w:val="00DF01BD"/>
    <w:rsid w:val="00DF1ABB"/>
    <w:rsid w:val="00E00EB9"/>
    <w:rsid w:val="00E03445"/>
    <w:rsid w:val="00E1726A"/>
    <w:rsid w:val="00E2194C"/>
    <w:rsid w:val="00E22B60"/>
    <w:rsid w:val="00E27E1D"/>
    <w:rsid w:val="00E32E80"/>
    <w:rsid w:val="00E3364C"/>
    <w:rsid w:val="00E337E5"/>
    <w:rsid w:val="00E34BC7"/>
    <w:rsid w:val="00E35686"/>
    <w:rsid w:val="00E3578F"/>
    <w:rsid w:val="00E42098"/>
    <w:rsid w:val="00E45178"/>
    <w:rsid w:val="00E62C73"/>
    <w:rsid w:val="00E6365E"/>
    <w:rsid w:val="00E700A6"/>
    <w:rsid w:val="00E707C8"/>
    <w:rsid w:val="00E774DB"/>
    <w:rsid w:val="00E77BD5"/>
    <w:rsid w:val="00E81CC8"/>
    <w:rsid w:val="00E929D9"/>
    <w:rsid w:val="00E9431E"/>
    <w:rsid w:val="00E97D38"/>
    <w:rsid w:val="00EA6DB1"/>
    <w:rsid w:val="00EA7636"/>
    <w:rsid w:val="00EA79CE"/>
    <w:rsid w:val="00EA7B4A"/>
    <w:rsid w:val="00EB2796"/>
    <w:rsid w:val="00EB6C94"/>
    <w:rsid w:val="00EB72BC"/>
    <w:rsid w:val="00EB76C1"/>
    <w:rsid w:val="00EB7758"/>
    <w:rsid w:val="00EC2C91"/>
    <w:rsid w:val="00EC7C35"/>
    <w:rsid w:val="00ED20FD"/>
    <w:rsid w:val="00ED29C2"/>
    <w:rsid w:val="00ED3A38"/>
    <w:rsid w:val="00EE17CC"/>
    <w:rsid w:val="00EF3092"/>
    <w:rsid w:val="00F02DF1"/>
    <w:rsid w:val="00F06FAA"/>
    <w:rsid w:val="00F07578"/>
    <w:rsid w:val="00F25B28"/>
    <w:rsid w:val="00F26220"/>
    <w:rsid w:val="00F31306"/>
    <w:rsid w:val="00F4107B"/>
    <w:rsid w:val="00F4191A"/>
    <w:rsid w:val="00F47DBC"/>
    <w:rsid w:val="00F533BD"/>
    <w:rsid w:val="00F6169A"/>
    <w:rsid w:val="00F71EBF"/>
    <w:rsid w:val="00F81077"/>
    <w:rsid w:val="00F91BC1"/>
    <w:rsid w:val="00F92494"/>
    <w:rsid w:val="00F926C8"/>
    <w:rsid w:val="00F933CF"/>
    <w:rsid w:val="00FA29DC"/>
    <w:rsid w:val="00FA4945"/>
    <w:rsid w:val="00FA711E"/>
    <w:rsid w:val="00FB1C01"/>
    <w:rsid w:val="00FB1CBD"/>
    <w:rsid w:val="00FB6501"/>
    <w:rsid w:val="00FB6B55"/>
    <w:rsid w:val="00FC3DAB"/>
    <w:rsid w:val="00FD44F1"/>
    <w:rsid w:val="00FE1386"/>
    <w:rsid w:val="00FE4BFA"/>
    <w:rsid w:val="00FE55FE"/>
    <w:rsid w:val="00FF7B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DD41921"/>
  <w15:docId w15:val="{A8FD0682-00F5-4BE9-ABE0-2E89568B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65E"/>
    <w:rPr>
      <w:rFonts w:ascii="Times New Roman" w:hAnsi="Times New Roman" w:cs="Arial"/>
      <w:sz w:val="24"/>
    </w:rPr>
  </w:style>
  <w:style w:type="paragraph" w:styleId="Heading1">
    <w:name w:val="heading 1"/>
    <w:basedOn w:val="Normal"/>
    <w:next w:val="Normal"/>
    <w:link w:val="Heading1Char"/>
    <w:uiPriority w:val="9"/>
    <w:qFormat/>
    <w:rsid w:val="00E6365E"/>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semiHidden/>
    <w:unhideWhenUsed/>
    <w:qFormat/>
    <w:rsid w:val="00E6365E"/>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E6365E"/>
    <w:pPr>
      <w:keepNext/>
      <w:spacing w:before="240" w:after="60"/>
      <w:outlineLvl w:val="2"/>
    </w:pPr>
    <w:rPr>
      <w:rFonts w:ascii="Cambria" w:eastAsia="Times New Roman" w:hAnsi="Cambria" w:cs="Times New Roman"/>
      <w:b/>
      <w:bCs/>
      <w:sz w:val="26"/>
      <w:szCs w:val="26"/>
    </w:rPr>
  </w:style>
  <w:style w:type="paragraph" w:styleId="Heading4">
    <w:name w:val="heading 4"/>
    <w:basedOn w:val="BodyTextIndent"/>
    <w:link w:val="Heading4Char"/>
    <w:uiPriority w:val="9"/>
    <w:semiHidden/>
    <w:unhideWhenUsed/>
    <w:qFormat/>
    <w:rsid w:val="00E6365E"/>
    <w:pPr>
      <w:keepNext/>
      <w:spacing w:before="240" w:after="60"/>
      <w:ind w:left="0"/>
      <w:outlineLvl w:val="3"/>
    </w:pPr>
    <w:rPr>
      <w:rFonts w:ascii="Calibri" w:eastAsia="Times New Roman" w:hAnsi="Calibri" w:cs="Times New Roman"/>
      <w:b/>
      <w:bCs/>
      <w:sz w:val="28"/>
      <w:szCs w:val="28"/>
    </w:rPr>
  </w:style>
  <w:style w:type="paragraph" w:styleId="Heading5">
    <w:name w:val="heading 5"/>
    <w:basedOn w:val="BodyTextIndent"/>
    <w:link w:val="Heading5Char"/>
    <w:uiPriority w:val="9"/>
    <w:unhideWhenUsed/>
    <w:qFormat/>
    <w:rsid w:val="00E6365E"/>
    <w:pPr>
      <w:spacing w:before="240" w:after="60"/>
      <w:ind w:left="0"/>
      <w:outlineLvl w:val="4"/>
    </w:pPr>
    <w:rPr>
      <w:rFonts w:ascii="Calibri" w:eastAsia="Times New Roman" w:hAnsi="Calibri" w:cs="Times New Roman"/>
      <w:b/>
      <w:bCs/>
      <w:i/>
      <w:iCs/>
      <w:sz w:val="26"/>
      <w:szCs w:val="26"/>
    </w:rPr>
  </w:style>
  <w:style w:type="paragraph" w:styleId="Heading6">
    <w:name w:val="heading 6"/>
    <w:basedOn w:val="Heading5"/>
    <w:link w:val="Heading6Char"/>
    <w:uiPriority w:val="9"/>
    <w:semiHidden/>
    <w:unhideWhenUsed/>
    <w:qFormat/>
    <w:rsid w:val="00E6365E"/>
    <w:pPr>
      <w:outlineLvl w:val="5"/>
    </w:pPr>
    <w:rPr>
      <w:i w:val="0"/>
      <w:iCs w:val="0"/>
      <w:sz w:val="22"/>
      <w:szCs w:val="22"/>
    </w:rPr>
  </w:style>
  <w:style w:type="paragraph" w:styleId="Heading7">
    <w:name w:val="heading 7"/>
    <w:basedOn w:val="Normal"/>
    <w:link w:val="Heading7Char"/>
    <w:uiPriority w:val="9"/>
    <w:semiHidden/>
    <w:unhideWhenUsed/>
    <w:qFormat/>
    <w:rsid w:val="00E6365E"/>
    <w:pPr>
      <w:spacing w:before="240" w:after="60"/>
      <w:outlineLvl w:val="6"/>
    </w:pPr>
    <w:rPr>
      <w:rFonts w:ascii="Calibri" w:eastAsia="Times New Roman" w:hAnsi="Calibri" w:cs="Times New Roman"/>
      <w:szCs w:val="24"/>
    </w:rPr>
  </w:style>
  <w:style w:type="paragraph" w:styleId="Heading8">
    <w:name w:val="heading 8"/>
    <w:basedOn w:val="Normal"/>
    <w:link w:val="Heading8Char"/>
    <w:uiPriority w:val="9"/>
    <w:semiHidden/>
    <w:unhideWhenUsed/>
    <w:qFormat/>
    <w:rsid w:val="00E6365E"/>
    <w:pPr>
      <w:spacing w:before="240" w:after="60"/>
      <w:outlineLvl w:val="7"/>
    </w:pPr>
    <w:rPr>
      <w:rFonts w:ascii="Calibri" w:eastAsia="Times New Roman" w:hAnsi="Calibri" w:cs="Times New Roman"/>
      <w:i/>
      <w:iCs/>
      <w:szCs w:val="24"/>
    </w:rPr>
  </w:style>
  <w:style w:type="paragraph" w:styleId="Heading9">
    <w:name w:val="heading 9"/>
    <w:basedOn w:val="Normal"/>
    <w:link w:val="Heading9Char"/>
    <w:uiPriority w:val="9"/>
    <w:semiHidden/>
    <w:unhideWhenUsed/>
    <w:qFormat/>
    <w:rsid w:val="00E6365E"/>
    <w:pPr>
      <w:spacing w:before="240" w:after="60"/>
      <w:outlineLvl w:val="8"/>
    </w:pPr>
    <w:rPr>
      <w:rFonts w:ascii="Cambria" w:eastAsia="Times New Roman"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E105D"/>
    <w:pPr>
      <w:tabs>
        <w:tab w:val="center" w:pos="4153"/>
        <w:tab w:val="right" w:pos="8306"/>
      </w:tabs>
    </w:pPr>
    <w:rPr>
      <w:rFonts w:eastAsia="Times New Roman" w:cs="Times New Roman"/>
    </w:rPr>
  </w:style>
  <w:style w:type="character" w:customStyle="1" w:styleId="FooterChar">
    <w:name w:val="Footer Char"/>
    <w:link w:val="Footer"/>
    <w:rsid w:val="005E105D"/>
    <w:rPr>
      <w:rFonts w:ascii="Times New Roman" w:eastAsia="Times New Roman" w:hAnsi="Times New Roman" w:cs="Times New Roman"/>
      <w:sz w:val="24"/>
      <w:szCs w:val="20"/>
    </w:rPr>
  </w:style>
  <w:style w:type="paragraph" w:customStyle="1" w:styleId="1i">
    <w:name w:val="1(i)"/>
    <w:basedOn w:val="Normal"/>
    <w:rsid w:val="005E105D"/>
    <w:pPr>
      <w:tabs>
        <w:tab w:val="left" w:pos="720"/>
        <w:tab w:val="left" w:pos="1440"/>
        <w:tab w:val="right" w:pos="9000"/>
      </w:tabs>
      <w:ind w:left="1440" w:hanging="1440"/>
    </w:pPr>
    <w:rPr>
      <w:rFonts w:eastAsia="Times New Roman" w:cs="Times New Roman"/>
    </w:rPr>
  </w:style>
  <w:style w:type="character" w:styleId="PageNumber">
    <w:name w:val="page number"/>
    <w:basedOn w:val="DefaultParagraphFont"/>
    <w:rsid w:val="005E105D"/>
  </w:style>
  <w:style w:type="paragraph" w:styleId="ListParagraph">
    <w:name w:val="List Paragraph"/>
    <w:basedOn w:val="Normal"/>
    <w:uiPriority w:val="34"/>
    <w:qFormat/>
    <w:rsid w:val="005E105D"/>
    <w:pPr>
      <w:ind w:left="720"/>
    </w:pPr>
    <w:rPr>
      <w:rFonts w:eastAsia="Times New Roman" w:cs="Times New Roman"/>
      <w:szCs w:val="24"/>
    </w:rPr>
  </w:style>
  <w:style w:type="paragraph" w:styleId="Header">
    <w:name w:val="header"/>
    <w:basedOn w:val="Normal"/>
    <w:link w:val="HeaderChar"/>
    <w:uiPriority w:val="99"/>
    <w:unhideWhenUsed/>
    <w:rsid w:val="005E105D"/>
    <w:pPr>
      <w:tabs>
        <w:tab w:val="center" w:pos="4513"/>
        <w:tab w:val="right" w:pos="9026"/>
      </w:tabs>
    </w:pPr>
    <w:rPr>
      <w:rFonts w:cs="Times New Roman"/>
    </w:rPr>
  </w:style>
  <w:style w:type="character" w:customStyle="1" w:styleId="HeaderChar">
    <w:name w:val="Header Char"/>
    <w:link w:val="Header"/>
    <w:uiPriority w:val="99"/>
    <w:rsid w:val="005E105D"/>
    <w:rPr>
      <w:rFonts w:ascii="Arial" w:hAnsi="Arial" w:cs="Arial"/>
      <w:sz w:val="20"/>
      <w:szCs w:val="20"/>
    </w:rPr>
  </w:style>
  <w:style w:type="character" w:customStyle="1" w:styleId="Heading1Char">
    <w:name w:val="Heading 1 Char"/>
    <w:link w:val="Heading1"/>
    <w:uiPriority w:val="9"/>
    <w:rsid w:val="00E6365E"/>
    <w:rPr>
      <w:rFonts w:ascii="Cambria" w:hAnsi="Cambria"/>
      <w:b/>
      <w:bCs/>
      <w:kern w:val="32"/>
      <w:sz w:val="32"/>
      <w:szCs w:val="32"/>
    </w:rPr>
  </w:style>
  <w:style w:type="paragraph" w:styleId="BalloonText">
    <w:name w:val="Balloon Text"/>
    <w:basedOn w:val="Normal"/>
    <w:link w:val="BalloonTextChar"/>
    <w:uiPriority w:val="99"/>
    <w:semiHidden/>
    <w:unhideWhenUsed/>
    <w:rsid w:val="00A3528D"/>
    <w:rPr>
      <w:rFonts w:ascii="Tahoma" w:hAnsi="Tahoma" w:cs="Tahoma"/>
      <w:sz w:val="16"/>
      <w:szCs w:val="16"/>
    </w:rPr>
  </w:style>
  <w:style w:type="character" w:customStyle="1" w:styleId="BalloonTextChar">
    <w:name w:val="Balloon Text Char"/>
    <w:basedOn w:val="DefaultParagraphFont"/>
    <w:link w:val="BalloonText"/>
    <w:uiPriority w:val="99"/>
    <w:semiHidden/>
    <w:rsid w:val="00A3528D"/>
    <w:rPr>
      <w:rFonts w:ascii="Tahoma" w:hAnsi="Tahoma" w:cs="Tahoma"/>
      <w:sz w:val="16"/>
      <w:szCs w:val="16"/>
    </w:rPr>
  </w:style>
  <w:style w:type="paragraph" w:styleId="BlockText">
    <w:name w:val="Block Text"/>
    <w:basedOn w:val="Normal"/>
    <w:rsid w:val="00D02EFD"/>
    <w:pPr>
      <w:tabs>
        <w:tab w:val="left" w:pos="720"/>
        <w:tab w:val="right" w:pos="8280"/>
      </w:tabs>
      <w:ind w:left="720" w:right="562" w:hanging="720"/>
    </w:pPr>
    <w:rPr>
      <w:rFonts w:eastAsia="Times New Roman" w:cs="Times New Roman"/>
      <w:sz w:val="22"/>
      <w:szCs w:val="22"/>
      <w:lang w:eastAsia="en-US"/>
    </w:rPr>
  </w:style>
  <w:style w:type="character" w:styleId="CommentReference">
    <w:name w:val="annotation reference"/>
    <w:basedOn w:val="DefaultParagraphFont"/>
    <w:uiPriority w:val="99"/>
    <w:semiHidden/>
    <w:unhideWhenUsed/>
    <w:rsid w:val="00D62F33"/>
    <w:rPr>
      <w:sz w:val="16"/>
      <w:szCs w:val="16"/>
    </w:rPr>
  </w:style>
  <w:style w:type="paragraph" w:styleId="CommentText">
    <w:name w:val="annotation text"/>
    <w:basedOn w:val="Normal"/>
    <w:link w:val="CommentTextChar"/>
    <w:uiPriority w:val="99"/>
    <w:unhideWhenUsed/>
    <w:rsid w:val="00D62F33"/>
  </w:style>
  <w:style w:type="character" w:customStyle="1" w:styleId="CommentTextChar">
    <w:name w:val="Comment Text Char"/>
    <w:basedOn w:val="DefaultParagraphFont"/>
    <w:link w:val="CommentText"/>
    <w:uiPriority w:val="99"/>
    <w:rsid w:val="00D62F33"/>
    <w:rPr>
      <w:rFonts w:ascii="Arial" w:hAnsi="Arial" w:cs="Arial"/>
    </w:rPr>
  </w:style>
  <w:style w:type="paragraph" w:styleId="CommentSubject">
    <w:name w:val="annotation subject"/>
    <w:basedOn w:val="CommentText"/>
    <w:next w:val="CommentText"/>
    <w:link w:val="CommentSubjectChar"/>
    <w:uiPriority w:val="99"/>
    <w:semiHidden/>
    <w:unhideWhenUsed/>
    <w:rsid w:val="00D62F33"/>
    <w:rPr>
      <w:b/>
      <w:bCs/>
    </w:rPr>
  </w:style>
  <w:style w:type="character" w:customStyle="1" w:styleId="CommentSubjectChar">
    <w:name w:val="Comment Subject Char"/>
    <w:basedOn w:val="CommentTextChar"/>
    <w:link w:val="CommentSubject"/>
    <w:uiPriority w:val="99"/>
    <w:semiHidden/>
    <w:rsid w:val="00D62F33"/>
    <w:rPr>
      <w:rFonts w:ascii="Arial" w:hAnsi="Arial" w:cs="Arial"/>
      <w:b/>
      <w:bCs/>
    </w:rPr>
  </w:style>
  <w:style w:type="paragraph" w:customStyle="1" w:styleId="1iTextIFoA">
    <w:name w:val="1(i)TextIFoA"/>
    <w:basedOn w:val="Normal"/>
    <w:link w:val="1iTextIFoAChar"/>
    <w:qFormat/>
    <w:rsid w:val="00E6365E"/>
    <w:pPr>
      <w:tabs>
        <w:tab w:val="left" w:pos="720"/>
        <w:tab w:val="right" w:pos="9000"/>
      </w:tabs>
      <w:ind w:left="1440" w:hanging="1440"/>
    </w:pPr>
  </w:style>
  <w:style w:type="character" w:customStyle="1" w:styleId="1iTextIFoAChar">
    <w:name w:val="1(i)TextIFoA Char"/>
    <w:link w:val="1iTextIFoA"/>
    <w:rsid w:val="00E6365E"/>
    <w:rPr>
      <w:rFonts w:ascii="Times New Roman" w:hAnsi="Times New Roman" w:cs="Arial"/>
      <w:sz w:val="24"/>
    </w:rPr>
  </w:style>
  <w:style w:type="paragraph" w:customStyle="1" w:styleId="1TextIFoA">
    <w:name w:val="1TextIFoA"/>
    <w:basedOn w:val="1iTextIFoA"/>
    <w:link w:val="1TextIFoAChar"/>
    <w:qFormat/>
    <w:rsid w:val="00E6365E"/>
    <w:pPr>
      <w:ind w:left="720" w:hanging="720"/>
    </w:pPr>
    <w:rPr>
      <w:rFonts w:cs="Times New Roman"/>
    </w:rPr>
  </w:style>
  <w:style w:type="character" w:customStyle="1" w:styleId="1TextIFoAChar">
    <w:name w:val="1TextIFoA Char"/>
    <w:link w:val="1TextIFoA"/>
    <w:rsid w:val="00E6365E"/>
    <w:rPr>
      <w:rFonts w:ascii="Times New Roman" w:hAnsi="Times New Roman"/>
      <w:sz w:val="24"/>
    </w:rPr>
  </w:style>
  <w:style w:type="paragraph" w:customStyle="1" w:styleId="1iaTextIFoA">
    <w:name w:val="1(i)(a)TextIFoA"/>
    <w:basedOn w:val="1iTextIFoA"/>
    <w:link w:val="1iaTextIFoAChar"/>
    <w:qFormat/>
    <w:rsid w:val="00E6365E"/>
    <w:pPr>
      <w:tabs>
        <w:tab w:val="left" w:pos="1440"/>
        <w:tab w:val="left" w:pos="2160"/>
      </w:tabs>
      <w:ind w:left="2160" w:hanging="2160"/>
    </w:pPr>
    <w:rPr>
      <w:rFonts w:cs="Times New Roman"/>
    </w:rPr>
  </w:style>
  <w:style w:type="character" w:customStyle="1" w:styleId="1iaTextIFoAChar">
    <w:name w:val="1(i)(a)TextIFoA Char"/>
    <w:link w:val="1iaTextIFoA"/>
    <w:rsid w:val="00E6365E"/>
    <w:rPr>
      <w:rFonts w:ascii="Times New Roman" w:hAnsi="Times New Roman"/>
      <w:sz w:val="24"/>
    </w:rPr>
  </w:style>
  <w:style w:type="character" w:customStyle="1" w:styleId="ExamSubIFoA">
    <w:name w:val="ExamSubIFoA"/>
    <w:uiPriority w:val="1"/>
    <w:qFormat/>
    <w:rsid w:val="00E6365E"/>
    <w:rPr>
      <w:position w:val="-6"/>
      <w:sz w:val="18"/>
    </w:rPr>
  </w:style>
  <w:style w:type="character" w:customStyle="1" w:styleId="ExamSubItalIFoA">
    <w:name w:val="ExamSubItalIFoA"/>
    <w:uiPriority w:val="1"/>
    <w:qFormat/>
    <w:rsid w:val="00E6365E"/>
    <w:rPr>
      <w:i/>
      <w:position w:val="-6"/>
      <w:sz w:val="18"/>
    </w:rPr>
  </w:style>
  <w:style w:type="character" w:customStyle="1" w:styleId="ExamSupIFoA">
    <w:name w:val="ExamSupIFoA"/>
    <w:uiPriority w:val="1"/>
    <w:qFormat/>
    <w:rsid w:val="00E6365E"/>
    <w:rPr>
      <w:position w:val="8"/>
      <w:sz w:val="18"/>
    </w:rPr>
  </w:style>
  <w:style w:type="character" w:customStyle="1" w:styleId="ExamSupItalIFoA">
    <w:name w:val="ExamSupItalIFoA"/>
    <w:uiPriority w:val="1"/>
    <w:qFormat/>
    <w:rsid w:val="00E6365E"/>
    <w:rPr>
      <w:i/>
      <w:position w:val="8"/>
      <w:sz w:val="18"/>
    </w:rPr>
  </w:style>
  <w:style w:type="character" w:customStyle="1" w:styleId="ExamQNumIFoA">
    <w:name w:val="ExamQNumIFoA"/>
    <w:uiPriority w:val="1"/>
    <w:qFormat/>
    <w:rsid w:val="00E6365E"/>
    <w:rPr>
      <w:rFonts w:ascii="Times New Roman" w:hAnsi="Times New Roman"/>
      <w:b/>
      <w:sz w:val="30"/>
      <w:szCs w:val="24"/>
    </w:rPr>
  </w:style>
  <w:style w:type="character" w:customStyle="1" w:styleId="Heading2Char">
    <w:name w:val="Heading 2 Char"/>
    <w:link w:val="Heading2"/>
    <w:uiPriority w:val="9"/>
    <w:semiHidden/>
    <w:rsid w:val="00E6365E"/>
    <w:rPr>
      <w:rFonts w:ascii="Cambria" w:eastAsia="Times New Roman" w:hAnsi="Cambria"/>
      <w:b/>
      <w:bCs/>
      <w:i/>
      <w:iCs/>
      <w:sz w:val="28"/>
      <w:szCs w:val="28"/>
    </w:rPr>
  </w:style>
  <w:style w:type="character" w:customStyle="1" w:styleId="Heading3Char">
    <w:name w:val="Heading 3 Char"/>
    <w:link w:val="Heading3"/>
    <w:uiPriority w:val="9"/>
    <w:semiHidden/>
    <w:rsid w:val="00E6365E"/>
    <w:rPr>
      <w:rFonts w:ascii="Cambria" w:eastAsia="Times New Roman" w:hAnsi="Cambria"/>
      <w:b/>
      <w:bCs/>
      <w:sz w:val="26"/>
      <w:szCs w:val="26"/>
    </w:rPr>
  </w:style>
  <w:style w:type="character" w:customStyle="1" w:styleId="Heading4Char">
    <w:name w:val="Heading 4 Char"/>
    <w:link w:val="Heading4"/>
    <w:uiPriority w:val="9"/>
    <w:semiHidden/>
    <w:rsid w:val="00E6365E"/>
    <w:rPr>
      <w:rFonts w:eastAsia="Times New Roman"/>
      <w:b/>
      <w:bCs/>
      <w:sz w:val="28"/>
      <w:szCs w:val="28"/>
    </w:rPr>
  </w:style>
  <w:style w:type="paragraph" w:styleId="BodyTextIndent">
    <w:name w:val="Body Text Indent"/>
    <w:basedOn w:val="Normal"/>
    <w:link w:val="BodyTextIndentChar"/>
    <w:uiPriority w:val="99"/>
    <w:semiHidden/>
    <w:unhideWhenUsed/>
    <w:rsid w:val="00E6365E"/>
    <w:pPr>
      <w:spacing w:after="120"/>
      <w:ind w:left="283"/>
    </w:pPr>
  </w:style>
  <w:style w:type="character" w:customStyle="1" w:styleId="BodyTextIndentChar">
    <w:name w:val="Body Text Indent Char"/>
    <w:basedOn w:val="DefaultParagraphFont"/>
    <w:link w:val="BodyTextIndent"/>
    <w:uiPriority w:val="99"/>
    <w:semiHidden/>
    <w:rsid w:val="00E6365E"/>
    <w:rPr>
      <w:rFonts w:ascii="Times New Roman" w:hAnsi="Times New Roman" w:cs="Arial"/>
      <w:sz w:val="24"/>
    </w:rPr>
  </w:style>
  <w:style w:type="character" w:customStyle="1" w:styleId="Heading5Char">
    <w:name w:val="Heading 5 Char"/>
    <w:link w:val="Heading5"/>
    <w:uiPriority w:val="9"/>
    <w:rsid w:val="00E6365E"/>
    <w:rPr>
      <w:rFonts w:eastAsia="Times New Roman"/>
      <w:b/>
      <w:bCs/>
      <w:i/>
      <w:iCs/>
      <w:sz w:val="26"/>
      <w:szCs w:val="26"/>
    </w:rPr>
  </w:style>
  <w:style w:type="character" w:customStyle="1" w:styleId="Heading6Char">
    <w:name w:val="Heading 6 Char"/>
    <w:link w:val="Heading6"/>
    <w:uiPriority w:val="9"/>
    <w:semiHidden/>
    <w:rsid w:val="00E6365E"/>
    <w:rPr>
      <w:rFonts w:eastAsia="Times New Roman"/>
      <w:b/>
      <w:bCs/>
      <w:sz w:val="22"/>
      <w:szCs w:val="22"/>
    </w:rPr>
  </w:style>
  <w:style w:type="character" w:customStyle="1" w:styleId="Heading7Char">
    <w:name w:val="Heading 7 Char"/>
    <w:link w:val="Heading7"/>
    <w:uiPriority w:val="9"/>
    <w:semiHidden/>
    <w:rsid w:val="00E6365E"/>
    <w:rPr>
      <w:rFonts w:eastAsia="Times New Roman"/>
      <w:sz w:val="24"/>
      <w:szCs w:val="24"/>
    </w:rPr>
  </w:style>
  <w:style w:type="character" w:customStyle="1" w:styleId="Heading8Char">
    <w:name w:val="Heading 8 Char"/>
    <w:link w:val="Heading8"/>
    <w:uiPriority w:val="9"/>
    <w:semiHidden/>
    <w:rsid w:val="00E6365E"/>
    <w:rPr>
      <w:rFonts w:eastAsia="Times New Roman"/>
      <w:i/>
      <w:iCs/>
      <w:sz w:val="24"/>
      <w:szCs w:val="24"/>
    </w:rPr>
  </w:style>
  <w:style w:type="character" w:customStyle="1" w:styleId="Heading9Char">
    <w:name w:val="Heading 9 Char"/>
    <w:link w:val="Heading9"/>
    <w:uiPriority w:val="9"/>
    <w:semiHidden/>
    <w:rsid w:val="00E6365E"/>
    <w:rPr>
      <w:rFonts w:ascii="Cambria" w:eastAsia="Times New Roman" w:hAnsi="Cambria"/>
      <w:sz w:val="22"/>
      <w:szCs w:val="22"/>
    </w:rPr>
  </w:style>
  <w:style w:type="paragraph" w:styleId="BodyText">
    <w:name w:val="Body Text"/>
    <w:basedOn w:val="Normal"/>
    <w:link w:val="BodyTextChar"/>
    <w:uiPriority w:val="99"/>
    <w:semiHidden/>
    <w:unhideWhenUsed/>
    <w:qFormat/>
    <w:rsid w:val="00E6365E"/>
    <w:pPr>
      <w:spacing w:after="120"/>
    </w:pPr>
  </w:style>
  <w:style w:type="character" w:customStyle="1" w:styleId="BodyTextChar">
    <w:name w:val="Body Text Char"/>
    <w:link w:val="BodyText"/>
    <w:uiPriority w:val="99"/>
    <w:semiHidden/>
    <w:rsid w:val="00E6365E"/>
    <w:rPr>
      <w:rFonts w:ascii="Times New Roman" w:hAnsi="Times New Roman" w:cs="Arial"/>
      <w:sz w:val="24"/>
    </w:rPr>
  </w:style>
  <w:style w:type="paragraph" w:styleId="Caption">
    <w:name w:val="caption"/>
    <w:basedOn w:val="BodyText"/>
    <w:next w:val="Normal"/>
    <w:qFormat/>
    <w:rsid w:val="00DE4A8F"/>
    <w:pPr>
      <w:spacing w:before="140" w:after="140"/>
    </w:pPr>
    <w:rPr>
      <w:b/>
    </w:rPr>
  </w:style>
  <w:style w:type="paragraph" w:styleId="Revision">
    <w:name w:val="Revision"/>
    <w:hidden/>
    <w:uiPriority w:val="99"/>
    <w:semiHidden/>
    <w:rsid w:val="00C76572"/>
    <w:rPr>
      <w:rFonts w:ascii="Times New Roman" w:hAnsi="Times New Roman" w:cs="Arial"/>
      <w:sz w:val="24"/>
    </w:rPr>
  </w:style>
  <w:style w:type="character" w:styleId="PlaceholderText">
    <w:name w:val="Placeholder Text"/>
    <w:basedOn w:val="DefaultParagraphFont"/>
    <w:uiPriority w:val="99"/>
    <w:semiHidden/>
    <w:rsid w:val="00B75834"/>
    <w:rPr>
      <w:color w:val="808080"/>
    </w:rPr>
  </w:style>
  <w:style w:type="character" w:styleId="Hyperlink">
    <w:name w:val="Hyperlink"/>
    <w:basedOn w:val="DefaultParagraphFont"/>
    <w:uiPriority w:val="99"/>
    <w:unhideWhenUsed/>
    <w:rsid w:val="006F15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9960">
      <w:bodyDiv w:val="1"/>
      <w:marLeft w:val="0"/>
      <w:marRight w:val="0"/>
      <w:marTop w:val="0"/>
      <w:marBottom w:val="0"/>
      <w:divBdr>
        <w:top w:val="none" w:sz="0" w:space="0" w:color="auto"/>
        <w:left w:val="none" w:sz="0" w:space="0" w:color="auto"/>
        <w:bottom w:val="none" w:sz="0" w:space="0" w:color="auto"/>
        <w:right w:val="none" w:sz="0" w:space="0" w:color="auto"/>
      </w:divBdr>
    </w:div>
    <w:div w:id="132216027">
      <w:bodyDiv w:val="1"/>
      <w:marLeft w:val="0"/>
      <w:marRight w:val="0"/>
      <w:marTop w:val="0"/>
      <w:marBottom w:val="0"/>
      <w:divBdr>
        <w:top w:val="none" w:sz="0" w:space="0" w:color="auto"/>
        <w:left w:val="none" w:sz="0" w:space="0" w:color="auto"/>
        <w:bottom w:val="none" w:sz="0" w:space="0" w:color="auto"/>
        <w:right w:val="none" w:sz="0" w:space="0" w:color="auto"/>
      </w:divBdr>
    </w:div>
    <w:div w:id="207686259">
      <w:bodyDiv w:val="1"/>
      <w:marLeft w:val="0"/>
      <w:marRight w:val="0"/>
      <w:marTop w:val="0"/>
      <w:marBottom w:val="0"/>
      <w:divBdr>
        <w:top w:val="none" w:sz="0" w:space="0" w:color="auto"/>
        <w:left w:val="none" w:sz="0" w:space="0" w:color="auto"/>
        <w:bottom w:val="none" w:sz="0" w:space="0" w:color="auto"/>
        <w:right w:val="none" w:sz="0" w:space="0" w:color="auto"/>
      </w:divBdr>
    </w:div>
    <w:div w:id="672071719">
      <w:bodyDiv w:val="1"/>
      <w:marLeft w:val="0"/>
      <w:marRight w:val="0"/>
      <w:marTop w:val="0"/>
      <w:marBottom w:val="0"/>
      <w:divBdr>
        <w:top w:val="none" w:sz="0" w:space="0" w:color="auto"/>
        <w:left w:val="none" w:sz="0" w:space="0" w:color="auto"/>
        <w:bottom w:val="none" w:sz="0" w:space="0" w:color="auto"/>
        <w:right w:val="none" w:sz="0" w:space="0" w:color="auto"/>
      </w:divBdr>
    </w:div>
    <w:div w:id="990795544">
      <w:bodyDiv w:val="1"/>
      <w:marLeft w:val="0"/>
      <w:marRight w:val="0"/>
      <w:marTop w:val="0"/>
      <w:marBottom w:val="0"/>
      <w:divBdr>
        <w:top w:val="none" w:sz="0" w:space="0" w:color="auto"/>
        <w:left w:val="none" w:sz="0" w:space="0" w:color="auto"/>
        <w:bottom w:val="none" w:sz="0" w:space="0" w:color="auto"/>
        <w:right w:val="none" w:sz="0" w:space="0" w:color="auto"/>
      </w:divBdr>
    </w:div>
    <w:div w:id="187696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File-em1-01\userdata2$\ALEXA486\My%20Documents\My%20docs\CA2\Exam%20question\2019\Hayley\IandF_CP2_119_P2%20Model%20for%20solu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em1-01\userdata2$\ALEXA486\My%20Documents\My%20docs\CA2\Exam%20question\2019\Hayley\IandF_CP2_119_P2%20Model%20for%20solu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Average initial pension per individual</a:t>
            </a:r>
          </a:p>
        </c:rich>
      </c:tx>
      <c:layout>
        <c:manualLayout>
          <c:xMode val="edge"/>
          <c:yMode val="edge"/>
          <c:x val="0.17757362450275835"/>
          <c:y val="2.9240307809820986E-3"/>
        </c:manualLayout>
      </c:layout>
      <c:overlay val="0"/>
    </c:title>
    <c:autoTitleDeleted val="0"/>
    <c:plotArea>
      <c:layout>
        <c:manualLayout>
          <c:layoutTarget val="inner"/>
          <c:xMode val="edge"/>
          <c:yMode val="edge"/>
          <c:x val="0.19918307086614173"/>
          <c:y val="0.3110813160738809"/>
          <c:w val="0.77026137357830271"/>
          <c:h val="0.53198345562841787"/>
        </c:manualLayout>
      </c:layout>
      <c:barChart>
        <c:barDir val="col"/>
        <c:grouping val="clustered"/>
        <c:varyColors val="0"/>
        <c:ser>
          <c:idx val="0"/>
          <c:order val="0"/>
          <c:tx>
            <c:v>Average pension per member</c:v>
          </c:tx>
          <c:invertIfNegative val="0"/>
          <c:cat>
            <c:numRef>
              <c:f>Data!$B$7:$B$16</c:f>
              <c:numCache>
                <c:formatCode>General</c:formatCode>
                <c:ptCount val="10"/>
                <c:pt idx="0">
                  <c:v>55</c:v>
                </c:pt>
                <c:pt idx="1">
                  <c:v>56</c:v>
                </c:pt>
                <c:pt idx="2">
                  <c:v>57</c:v>
                </c:pt>
                <c:pt idx="3">
                  <c:v>58</c:v>
                </c:pt>
                <c:pt idx="4">
                  <c:v>59</c:v>
                </c:pt>
                <c:pt idx="5">
                  <c:v>60</c:v>
                </c:pt>
                <c:pt idx="6">
                  <c:v>61</c:v>
                </c:pt>
                <c:pt idx="7">
                  <c:v>62</c:v>
                </c:pt>
                <c:pt idx="8">
                  <c:v>63</c:v>
                </c:pt>
                <c:pt idx="9">
                  <c:v>64</c:v>
                </c:pt>
              </c:numCache>
            </c:numRef>
          </c:cat>
          <c:val>
            <c:numRef>
              <c:f>Data!$F$7:$F$16</c:f>
              <c:numCache>
                <c:formatCode>_(* #,##0.00_);_(* \(#,##0.00\);_(* "-"??_);_(@_)</c:formatCode>
                <c:ptCount val="10"/>
                <c:pt idx="0">
                  <c:v>4133.333333333333</c:v>
                </c:pt>
                <c:pt idx="1">
                  <c:v>4196.4285714285716</c:v>
                </c:pt>
                <c:pt idx="2">
                  <c:v>4250</c:v>
                </c:pt>
                <c:pt idx="3">
                  <c:v>4352.9411764705883</c:v>
                </c:pt>
                <c:pt idx="4">
                  <c:v>4448.2758620689656</c:v>
                </c:pt>
                <c:pt idx="5">
                  <c:v>4208.333333333333</c:v>
                </c:pt>
                <c:pt idx="6">
                  <c:v>4222.2222222222226</c:v>
                </c:pt>
                <c:pt idx="7">
                  <c:v>4866.666666666667</c:v>
                </c:pt>
                <c:pt idx="8">
                  <c:v>5053.5714285714284</c:v>
                </c:pt>
                <c:pt idx="9">
                  <c:v>5365.3846153846152</c:v>
                </c:pt>
              </c:numCache>
            </c:numRef>
          </c:val>
        </c:ser>
        <c:dLbls>
          <c:showLegendKey val="0"/>
          <c:showVal val="0"/>
          <c:showCatName val="0"/>
          <c:showSerName val="0"/>
          <c:showPercent val="0"/>
          <c:showBubbleSize val="0"/>
        </c:dLbls>
        <c:gapWidth val="150"/>
        <c:axId val="4641400"/>
        <c:axId val="4641792"/>
      </c:barChart>
      <c:catAx>
        <c:axId val="4641400"/>
        <c:scaling>
          <c:orientation val="minMax"/>
        </c:scaling>
        <c:delete val="0"/>
        <c:axPos val="b"/>
        <c:title>
          <c:tx>
            <c:rich>
              <a:bodyPr anchor="t" anchorCtr="0"/>
              <a:lstStyle/>
              <a:p>
                <a:pPr>
                  <a:defRPr/>
                </a:pPr>
                <a:r>
                  <a:rPr lang="en-US"/>
                  <a:t>Age next birthday</a:t>
                </a:r>
              </a:p>
            </c:rich>
          </c:tx>
          <c:layout/>
          <c:overlay val="0"/>
        </c:title>
        <c:numFmt formatCode="General" sourceLinked="1"/>
        <c:majorTickMark val="out"/>
        <c:minorTickMark val="none"/>
        <c:tickLblPos val="nextTo"/>
        <c:crossAx val="4641792"/>
        <c:crosses val="autoZero"/>
        <c:auto val="1"/>
        <c:lblAlgn val="ctr"/>
        <c:lblOffset val="100"/>
        <c:noMultiLvlLbl val="0"/>
      </c:catAx>
      <c:valAx>
        <c:axId val="4641792"/>
        <c:scaling>
          <c:orientation val="minMax"/>
        </c:scaling>
        <c:delete val="0"/>
        <c:axPos val="l"/>
        <c:majorGridlines/>
        <c:title>
          <c:tx>
            <c:rich>
              <a:bodyPr rot="0" vert="horz"/>
              <a:lstStyle/>
              <a:p>
                <a:pPr>
                  <a:defRPr/>
                </a:pPr>
                <a:r>
                  <a:rPr lang="en-US"/>
                  <a:t>Pension amount p.a. ($)</a:t>
                </a:r>
              </a:p>
            </c:rich>
          </c:tx>
          <c:layout>
            <c:manualLayout>
              <c:xMode val="edge"/>
              <c:yMode val="edge"/>
              <c:x val="2.7835491457538709E-2"/>
              <c:y val="0.13604609021395547"/>
            </c:manualLayout>
          </c:layout>
          <c:overlay val="0"/>
        </c:title>
        <c:numFmt formatCode="#,##0" sourceLinked="0"/>
        <c:majorTickMark val="out"/>
        <c:minorTickMark val="none"/>
        <c:tickLblPos val="nextTo"/>
        <c:crossAx val="464140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Comparison</a:t>
            </a:r>
            <a:r>
              <a:rPr lang="en-GB" baseline="0"/>
              <a:t> of cashflows with and without PIE</a:t>
            </a:r>
            <a:endParaRPr lang="en-GB"/>
          </a:p>
        </c:rich>
      </c:tx>
      <c:layout/>
      <c:overlay val="0"/>
      <c:spPr>
        <a:noFill/>
        <a:ln>
          <a:noFill/>
        </a:ln>
        <a:effectLst/>
      </c:spPr>
    </c:title>
    <c:autoTitleDeleted val="0"/>
    <c:plotArea>
      <c:layout/>
      <c:lineChart>
        <c:grouping val="standard"/>
        <c:varyColors val="0"/>
        <c:ser>
          <c:idx val="0"/>
          <c:order val="0"/>
          <c:tx>
            <c:strRef>
              <c:f>Graphs!$B$5</c:f>
              <c:strCache>
                <c:ptCount val="1"/>
                <c:pt idx="0">
                  <c:v>Expected Cashflows if all on PIE proposal</c:v>
                </c:pt>
              </c:strCache>
            </c:strRef>
          </c:tx>
          <c:spPr>
            <a:ln w="28575" cap="rnd">
              <a:solidFill>
                <a:schemeClr val="accent1"/>
              </a:solidFill>
              <a:round/>
            </a:ln>
            <a:effectLst/>
          </c:spPr>
          <c:marker>
            <c:symbol val="none"/>
          </c:marker>
          <c:cat>
            <c:numRef>
              <c:f>Graphs!$A$6:$A$40</c:f>
              <c:numCache>
                <c:formatCode>m/d/yyyy</c:formatCode>
                <c:ptCount val="35"/>
                <c:pt idx="0">
                  <c:v>43831</c:v>
                </c:pt>
                <c:pt idx="1">
                  <c:v>44197</c:v>
                </c:pt>
                <c:pt idx="2">
                  <c:v>44562</c:v>
                </c:pt>
                <c:pt idx="3">
                  <c:v>44927</c:v>
                </c:pt>
                <c:pt idx="4">
                  <c:v>45292</c:v>
                </c:pt>
                <c:pt idx="5">
                  <c:v>45658</c:v>
                </c:pt>
                <c:pt idx="6">
                  <c:v>46023</c:v>
                </c:pt>
                <c:pt idx="7">
                  <c:v>46388</c:v>
                </c:pt>
                <c:pt idx="8">
                  <c:v>46753</c:v>
                </c:pt>
                <c:pt idx="9">
                  <c:v>47119</c:v>
                </c:pt>
                <c:pt idx="10">
                  <c:v>47484</c:v>
                </c:pt>
                <c:pt idx="11">
                  <c:v>47849</c:v>
                </c:pt>
                <c:pt idx="12">
                  <c:v>48214</c:v>
                </c:pt>
                <c:pt idx="13">
                  <c:v>48580</c:v>
                </c:pt>
                <c:pt idx="14">
                  <c:v>48945</c:v>
                </c:pt>
                <c:pt idx="15">
                  <c:v>49310</c:v>
                </c:pt>
                <c:pt idx="16">
                  <c:v>49675</c:v>
                </c:pt>
                <c:pt idx="17">
                  <c:v>50041</c:v>
                </c:pt>
                <c:pt idx="18">
                  <c:v>50406</c:v>
                </c:pt>
                <c:pt idx="19">
                  <c:v>50771</c:v>
                </c:pt>
                <c:pt idx="20">
                  <c:v>51136</c:v>
                </c:pt>
                <c:pt idx="21">
                  <c:v>51502</c:v>
                </c:pt>
                <c:pt idx="22">
                  <c:v>51867</c:v>
                </c:pt>
                <c:pt idx="23">
                  <c:v>52232</c:v>
                </c:pt>
                <c:pt idx="24">
                  <c:v>52597</c:v>
                </c:pt>
                <c:pt idx="25">
                  <c:v>52963</c:v>
                </c:pt>
                <c:pt idx="26">
                  <c:v>53328</c:v>
                </c:pt>
                <c:pt idx="27">
                  <c:v>53693</c:v>
                </c:pt>
                <c:pt idx="28">
                  <c:v>54058</c:v>
                </c:pt>
                <c:pt idx="29">
                  <c:v>54424</c:v>
                </c:pt>
                <c:pt idx="30">
                  <c:v>54789</c:v>
                </c:pt>
                <c:pt idx="31">
                  <c:v>55154</c:v>
                </c:pt>
                <c:pt idx="32">
                  <c:v>55519</c:v>
                </c:pt>
                <c:pt idx="33">
                  <c:v>55885</c:v>
                </c:pt>
                <c:pt idx="34">
                  <c:v>56250</c:v>
                </c:pt>
              </c:numCache>
            </c:numRef>
          </c:cat>
          <c:val>
            <c:numRef>
              <c:f>Graphs!$B$6:$B$40</c:f>
              <c:numCache>
                <c:formatCode>_-[$$-409]* #,##0.00_ ;_-[$$-409]* \-#,##0.00\ ;_-[$$-409]* "-"??_ ;_-@_ </c:formatCode>
                <c:ptCount val="35"/>
                <c:pt idx="0">
                  <c:v>0</c:v>
                </c:pt>
                <c:pt idx="1">
                  <c:v>381119.89105434797</c:v>
                </c:pt>
                <c:pt idx="2">
                  <c:v>767703.8665682564</c:v>
                </c:pt>
                <c:pt idx="3">
                  <c:v>1066862.4907291962</c:v>
                </c:pt>
                <c:pt idx="4">
                  <c:v>1274497.7001924971</c:v>
                </c:pt>
                <c:pt idx="5">
                  <c:v>1550433.9654003046</c:v>
                </c:pt>
                <c:pt idx="6">
                  <c:v>1726650.6892211321</c:v>
                </c:pt>
                <c:pt idx="7">
                  <c:v>1928821.8142248723</c:v>
                </c:pt>
                <c:pt idx="8">
                  <c:v>2300379.557474989</c:v>
                </c:pt>
                <c:pt idx="9">
                  <c:v>2621394.5194741711</c:v>
                </c:pt>
                <c:pt idx="10">
                  <c:v>2790781.1377205481</c:v>
                </c:pt>
                <c:pt idx="11">
                  <c:v>2790781.1377205481</c:v>
                </c:pt>
                <c:pt idx="12">
                  <c:v>2790781.1377205481</c:v>
                </c:pt>
                <c:pt idx="13">
                  <c:v>2790781.1377205481</c:v>
                </c:pt>
                <c:pt idx="14">
                  <c:v>2790781.1377205481</c:v>
                </c:pt>
                <c:pt idx="15">
                  <c:v>2790781.1377205481</c:v>
                </c:pt>
                <c:pt idx="16">
                  <c:v>2790781.1377205481</c:v>
                </c:pt>
                <c:pt idx="17">
                  <c:v>2790781.1377205481</c:v>
                </c:pt>
                <c:pt idx="18">
                  <c:v>2790781.1377205481</c:v>
                </c:pt>
                <c:pt idx="19">
                  <c:v>2790781.1377205481</c:v>
                </c:pt>
                <c:pt idx="20">
                  <c:v>2790781.1377205481</c:v>
                </c:pt>
                <c:pt idx="21">
                  <c:v>2409661.2466662</c:v>
                </c:pt>
                <c:pt idx="22">
                  <c:v>2409661.2466662</c:v>
                </c:pt>
                <c:pt idx="23">
                  <c:v>2023077.2711522914</c:v>
                </c:pt>
                <c:pt idx="24">
                  <c:v>1723918.6469913516</c:v>
                </c:pt>
                <c:pt idx="25">
                  <c:v>1723918.6469913516</c:v>
                </c:pt>
                <c:pt idx="26">
                  <c:v>1516283.437528051</c:v>
                </c:pt>
                <c:pt idx="27">
                  <c:v>1240347.1723202434</c:v>
                </c:pt>
                <c:pt idx="28">
                  <c:v>1240347.1723202434</c:v>
                </c:pt>
                <c:pt idx="29">
                  <c:v>1064130.448499416</c:v>
                </c:pt>
                <c:pt idx="30">
                  <c:v>861959.32349567581</c:v>
                </c:pt>
                <c:pt idx="31">
                  <c:v>861959.32349567581</c:v>
                </c:pt>
                <c:pt idx="32">
                  <c:v>490401.58024555881</c:v>
                </c:pt>
                <c:pt idx="33">
                  <c:v>169386.61824637686</c:v>
                </c:pt>
                <c:pt idx="34">
                  <c:v>169386.61824637686</c:v>
                </c:pt>
              </c:numCache>
            </c:numRef>
          </c:val>
          <c:smooth val="0"/>
        </c:ser>
        <c:ser>
          <c:idx val="1"/>
          <c:order val="1"/>
          <c:tx>
            <c:strRef>
              <c:f>Graphs!$C$5</c:f>
              <c:strCache>
                <c:ptCount val="1"/>
                <c:pt idx="0">
                  <c:v>Existing Expected Cashflows</c:v>
                </c:pt>
              </c:strCache>
            </c:strRef>
          </c:tx>
          <c:spPr>
            <a:ln w="28575" cap="rnd">
              <a:solidFill>
                <a:schemeClr val="accent2"/>
              </a:solidFill>
              <a:round/>
            </a:ln>
            <a:effectLst/>
          </c:spPr>
          <c:marker>
            <c:symbol val="none"/>
          </c:marker>
          <c:cat>
            <c:numRef>
              <c:f>Graphs!$A$6:$A$40</c:f>
              <c:numCache>
                <c:formatCode>m/d/yyyy</c:formatCode>
                <c:ptCount val="35"/>
                <c:pt idx="0">
                  <c:v>43831</c:v>
                </c:pt>
                <c:pt idx="1">
                  <c:v>44197</c:v>
                </c:pt>
                <c:pt idx="2">
                  <c:v>44562</c:v>
                </c:pt>
                <c:pt idx="3">
                  <c:v>44927</c:v>
                </c:pt>
                <c:pt idx="4">
                  <c:v>45292</c:v>
                </c:pt>
                <c:pt idx="5">
                  <c:v>45658</c:v>
                </c:pt>
                <c:pt idx="6">
                  <c:v>46023</c:v>
                </c:pt>
                <c:pt idx="7">
                  <c:v>46388</c:v>
                </c:pt>
                <c:pt idx="8">
                  <c:v>46753</c:v>
                </c:pt>
                <c:pt idx="9">
                  <c:v>47119</c:v>
                </c:pt>
                <c:pt idx="10">
                  <c:v>47484</c:v>
                </c:pt>
                <c:pt idx="11">
                  <c:v>47849</c:v>
                </c:pt>
                <c:pt idx="12">
                  <c:v>48214</c:v>
                </c:pt>
                <c:pt idx="13">
                  <c:v>48580</c:v>
                </c:pt>
                <c:pt idx="14">
                  <c:v>48945</c:v>
                </c:pt>
                <c:pt idx="15">
                  <c:v>49310</c:v>
                </c:pt>
                <c:pt idx="16">
                  <c:v>49675</c:v>
                </c:pt>
                <c:pt idx="17">
                  <c:v>50041</c:v>
                </c:pt>
                <c:pt idx="18">
                  <c:v>50406</c:v>
                </c:pt>
                <c:pt idx="19">
                  <c:v>50771</c:v>
                </c:pt>
                <c:pt idx="20">
                  <c:v>51136</c:v>
                </c:pt>
                <c:pt idx="21">
                  <c:v>51502</c:v>
                </c:pt>
                <c:pt idx="22">
                  <c:v>51867</c:v>
                </c:pt>
                <c:pt idx="23">
                  <c:v>52232</c:v>
                </c:pt>
                <c:pt idx="24">
                  <c:v>52597</c:v>
                </c:pt>
                <c:pt idx="25">
                  <c:v>52963</c:v>
                </c:pt>
                <c:pt idx="26">
                  <c:v>53328</c:v>
                </c:pt>
                <c:pt idx="27">
                  <c:v>53693</c:v>
                </c:pt>
                <c:pt idx="28">
                  <c:v>54058</c:v>
                </c:pt>
                <c:pt idx="29">
                  <c:v>54424</c:v>
                </c:pt>
                <c:pt idx="30">
                  <c:v>54789</c:v>
                </c:pt>
                <c:pt idx="31">
                  <c:v>55154</c:v>
                </c:pt>
                <c:pt idx="32">
                  <c:v>55519</c:v>
                </c:pt>
                <c:pt idx="33">
                  <c:v>55885</c:v>
                </c:pt>
                <c:pt idx="34">
                  <c:v>56250</c:v>
                </c:pt>
              </c:numCache>
            </c:numRef>
          </c:cat>
          <c:val>
            <c:numRef>
              <c:f>Graphs!$C$6:$C$40</c:f>
              <c:numCache>
                <c:formatCode>_-[$$-409]* #,##0.00_ ;_-[$$-409]* \-#,##0.00\ ;_-[$$-409]* "-"??_ ;_-@_ </c:formatCode>
                <c:ptCount val="35"/>
                <c:pt idx="0">
                  <c:v>0</c:v>
                </c:pt>
                <c:pt idx="1">
                  <c:v>279000</c:v>
                </c:pt>
                <c:pt idx="2">
                  <c:v>571346.5</c:v>
                </c:pt>
                <c:pt idx="3">
                  <c:v>809486.60775000008</c:v>
                </c:pt>
                <c:pt idx="4">
                  <c:v>988604.40910962515</c:v>
                </c:pt>
                <c:pt idx="5">
                  <c:v>1223722.6568147978</c:v>
                </c:pt>
                <c:pt idx="6">
                  <c:v>1393717.3658180935</c:v>
                </c:pt>
                <c:pt idx="7">
                  <c:v>1588406.8975730003</c:v>
                </c:pt>
                <c:pt idx="8">
                  <c:v>1913618.5286416956</c:v>
                </c:pt>
                <c:pt idx="9">
                  <c:v>2212724.7493511927</c:v>
                </c:pt>
                <c:pt idx="10">
                  <c:v>2410851.0284544583</c:v>
                </c:pt>
                <c:pt idx="11">
                  <c:v>2491614.5379076824</c:v>
                </c:pt>
                <c:pt idx="12">
                  <c:v>2575083.6249275906</c:v>
                </c:pt>
                <c:pt idx="13">
                  <c:v>2661348.9263626649</c:v>
                </c:pt>
                <c:pt idx="14">
                  <c:v>2750504.1153958146</c:v>
                </c:pt>
                <c:pt idx="15">
                  <c:v>2842646.003261575</c:v>
                </c:pt>
                <c:pt idx="16">
                  <c:v>2937874.6443708381</c:v>
                </c:pt>
                <c:pt idx="17">
                  <c:v>3036293.4449572614</c:v>
                </c:pt>
                <c:pt idx="18">
                  <c:v>3138009.2753633307</c:v>
                </c:pt>
                <c:pt idx="19">
                  <c:v>3243132.5860880027</c:v>
                </c:pt>
                <c:pt idx="20">
                  <c:v>3351777.5277219508</c:v>
                </c:pt>
                <c:pt idx="21">
                  <c:v>2924782.6853275541</c:v>
                </c:pt>
                <c:pt idx="22">
                  <c:v>3022762.905286028</c:v>
                </c:pt>
                <c:pt idx="23">
                  <c:v>2558689.6005986654</c:v>
                </c:pt>
                <c:pt idx="24">
                  <c:v>2206919.6464548931</c:v>
                </c:pt>
                <c:pt idx="25">
                  <c:v>2280851.4546111319</c:v>
                </c:pt>
                <c:pt idx="26">
                  <c:v>2043444.6382855764</c:v>
                </c:pt>
                <c:pt idx="27">
                  <c:v>1694855.9633318554</c:v>
                </c:pt>
                <c:pt idx="28">
                  <c:v>1751633.6381034728</c:v>
                </c:pt>
                <c:pt idx="29">
                  <c:v>1535061.1816960806</c:v>
                </c:pt>
                <c:pt idx="30">
                  <c:v>1270692.5287556818</c:v>
                </c:pt>
                <c:pt idx="31">
                  <c:v>1313260.7284689974</c:v>
                </c:pt>
                <c:pt idx="32">
                  <c:v>757435.64700222737</c:v>
                </c:pt>
                <c:pt idx="33">
                  <c:v>264583.49400929059</c:v>
                </c:pt>
                <c:pt idx="34">
                  <c:v>273447.04105860187</c:v>
                </c:pt>
              </c:numCache>
            </c:numRef>
          </c:val>
          <c:smooth val="0"/>
        </c:ser>
        <c:dLbls>
          <c:showLegendKey val="0"/>
          <c:showVal val="0"/>
          <c:showCatName val="0"/>
          <c:showSerName val="0"/>
          <c:showPercent val="0"/>
          <c:showBubbleSize val="0"/>
        </c:dLbls>
        <c:smooth val="0"/>
        <c:axId val="4642576"/>
        <c:axId val="4642968"/>
      </c:lineChart>
      <c:dateAx>
        <c:axId val="4642576"/>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2968"/>
        <c:crosses val="autoZero"/>
        <c:auto val="1"/>
        <c:lblOffset val="100"/>
        <c:baseTimeUnit val="years"/>
      </c:dateAx>
      <c:valAx>
        <c:axId val="4642968"/>
        <c:scaling>
          <c:orientation val="minMax"/>
        </c:scaling>
        <c:delete val="0"/>
        <c:axPos val="l"/>
        <c:majorGridlines>
          <c:spPr>
            <a:ln w="9525" cap="flat" cmpd="sng" algn="ctr">
              <a:solidFill>
                <a:schemeClr val="tx1">
                  <a:lumMod val="15000"/>
                  <a:lumOff val="85000"/>
                </a:schemeClr>
              </a:solidFill>
              <a:round/>
            </a:ln>
            <a:effectLst/>
          </c:spPr>
        </c:majorGridlines>
        <c:numFmt formatCode="_-* #,##0.0_-;\-* #,##0.0_-;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2576"/>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Millions $</a:t>
                  </a:r>
                </a:p>
              </c:rich>
            </c:tx>
            <c:spPr>
              <a:noFill/>
              <a:ln>
                <a:noFill/>
              </a:ln>
              <a:effectLst/>
            </c:sp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4DF8E-2EA3-4B1D-8299-CDC460612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2936</Words>
  <Characters>14891</Characters>
  <Application>Microsoft Office Word</Application>
  <DocSecurity>0</DocSecurity>
  <Lines>437</Lines>
  <Paragraphs>147</Paragraphs>
  <ScaleCrop>false</ScaleCrop>
  <HeadingPairs>
    <vt:vector size="2" baseType="variant">
      <vt:variant>
        <vt:lpstr>Title</vt:lpstr>
      </vt:variant>
      <vt:variant>
        <vt:i4>1</vt:i4>
      </vt:variant>
    </vt:vector>
  </HeadingPairs>
  <TitlesOfParts>
    <vt:vector size="1" baseType="lpstr">
      <vt:lpstr/>
    </vt:vector>
  </TitlesOfParts>
  <Company>IFoA</Company>
  <LinksUpToDate>false</LinksUpToDate>
  <CharactersWithSpaces>17680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Bridgewater</dc:creator>
  <cp:lastModifiedBy>Alexandra Vickersmith (Ben/Ret, Birmingham (Brindley Place))</cp:lastModifiedBy>
  <cp:revision>2</cp:revision>
  <cp:lastPrinted>2016-09-15T08:41:00Z</cp:lastPrinted>
  <dcterms:created xsi:type="dcterms:W3CDTF">2019-02-12T16:07:00Z</dcterms:created>
  <dcterms:modified xsi:type="dcterms:W3CDTF">2019-02-12T16:07:00Z</dcterms:modified>
</cp:coreProperties>
</file>