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2DADE009" w14:textId="4A0E3921" w:rsidR="00C3798D" w:rsidRPr="00C30E21" w:rsidRDefault="0076508E" w:rsidP="00C3798D">
      <w:pPr>
        <w:rPr>
          <w:sz w:val="16"/>
          <w:szCs w:val="16"/>
        </w:rPr>
      </w:pPr>
      <w:r w:rsidRPr="00C30E21">
        <w:rPr>
          <w:sz w:val="16"/>
          <w:szCs w:val="16"/>
        </w:rPr>
        <w:fldChar w:fldCharType="begin"/>
      </w:r>
      <w:r w:rsidR="00447417" w:rsidRPr="00C30E21">
        <w:rPr>
          <w:sz w:val="16"/>
          <w:szCs w:val="16"/>
        </w:rPr>
        <w:instrText>HYPERLINK  \l "ToR2019"</w:instrText>
      </w:r>
      <w:r w:rsidRPr="00C30E21">
        <w:rPr>
          <w:sz w:val="16"/>
          <w:szCs w:val="16"/>
        </w:rPr>
        <w:fldChar w:fldCharType="separate"/>
      </w:r>
      <w:r w:rsidR="00447417" w:rsidRPr="00C30E21">
        <w:rPr>
          <w:rStyle w:val="Hyperlink"/>
          <w:sz w:val="16"/>
          <w:szCs w:val="16"/>
        </w:rPr>
        <w:t>2019 Terms of Reference</w:t>
      </w:r>
      <w:r w:rsidRPr="00C30E21">
        <w:rPr>
          <w:sz w:val="16"/>
          <w:szCs w:val="16"/>
        </w:rPr>
        <w:fldChar w:fldCharType="end"/>
      </w:r>
      <w:r w:rsidR="00C3798D" w:rsidRPr="00C30E21">
        <w:rPr>
          <w:sz w:val="16"/>
          <w:szCs w:val="16"/>
        </w:rPr>
        <w:t xml:space="preserve"> – </w:t>
      </w:r>
      <w:hyperlink w:anchor="Scope2018" w:history="1">
        <w:r w:rsidR="00C3798D" w:rsidRPr="00C30E21">
          <w:rPr>
            <w:rStyle w:val="Hyperlink"/>
            <w:sz w:val="16"/>
            <w:szCs w:val="16"/>
          </w:rPr>
          <w:t>Closure of 2018 scope</w:t>
        </w:r>
      </w:hyperlink>
      <w:r w:rsidR="00C3798D" w:rsidRPr="00C30E21">
        <w:rPr>
          <w:sz w:val="16"/>
          <w:szCs w:val="16"/>
        </w:rPr>
        <w:t xml:space="preserve"> – </w:t>
      </w:r>
      <w:hyperlink w:anchor="InternalEngagement" w:history="1">
        <w:r w:rsidR="00C3798D" w:rsidRPr="00C30E21">
          <w:rPr>
            <w:rStyle w:val="Hyperlink"/>
            <w:sz w:val="16"/>
            <w:szCs w:val="16"/>
          </w:rPr>
          <w:t>Internal engagement</w:t>
        </w:r>
      </w:hyperlink>
      <w:r w:rsidR="00C3798D" w:rsidRPr="00C30E21">
        <w:rPr>
          <w:sz w:val="16"/>
          <w:szCs w:val="16"/>
        </w:rPr>
        <w:t xml:space="preserve"> – </w:t>
      </w:r>
      <w:hyperlink w:anchor="ExternalEngagement" w:history="1">
        <w:r w:rsidR="00C3798D" w:rsidRPr="00C30E21">
          <w:rPr>
            <w:rStyle w:val="Hyperlink"/>
            <w:sz w:val="16"/>
            <w:szCs w:val="16"/>
          </w:rPr>
          <w:t>External engagement</w:t>
        </w:r>
      </w:hyperlink>
      <w:r w:rsidR="00C3798D" w:rsidRPr="00C30E21">
        <w:rPr>
          <w:sz w:val="16"/>
          <w:szCs w:val="16"/>
        </w:rPr>
        <w:t xml:space="preserve"> – </w:t>
      </w:r>
      <w:hyperlink w:anchor="IFoAsupport" w:history="1">
        <w:r w:rsidR="00C3798D" w:rsidRPr="00C30E21">
          <w:rPr>
            <w:rStyle w:val="Hyperlink"/>
            <w:sz w:val="16"/>
            <w:szCs w:val="16"/>
          </w:rPr>
          <w:t>IFoA support required</w:t>
        </w:r>
      </w:hyperlink>
    </w:p>
    <w:p w14:paraId="02787511" w14:textId="77777777" w:rsidR="00C3798D" w:rsidRDefault="00C3798D" w:rsidP="0097240A">
      <w:pPr>
        <w:jc w:val="center"/>
        <w:rPr>
          <w:sz w:val="28"/>
          <w:szCs w:val="28"/>
        </w:rPr>
      </w:pPr>
    </w:p>
    <w:p w14:paraId="3AEAE0BF" w14:textId="77777777" w:rsidR="001B5962" w:rsidRPr="0097240A" w:rsidRDefault="0097240A" w:rsidP="0097240A">
      <w:pPr>
        <w:jc w:val="center"/>
        <w:rPr>
          <w:sz w:val="28"/>
          <w:szCs w:val="28"/>
        </w:rPr>
      </w:pPr>
      <w:r w:rsidRPr="0097240A">
        <w:rPr>
          <w:sz w:val="28"/>
          <w:szCs w:val="28"/>
        </w:rPr>
        <w:t>Terms of reference- 2019</w:t>
      </w:r>
    </w:p>
    <w:p w14:paraId="5FBCD900" w14:textId="1F7424F0" w:rsidR="0097240A" w:rsidRPr="0097240A" w:rsidRDefault="0097240A" w:rsidP="0097240A">
      <w:pPr>
        <w:pBdr>
          <w:bottom w:val="single" w:sz="6" w:space="1" w:color="auto"/>
        </w:pBdr>
        <w:jc w:val="center"/>
        <w:rPr>
          <w:sz w:val="28"/>
          <w:szCs w:val="28"/>
        </w:rPr>
      </w:pPr>
      <w:r w:rsidRPr="0097240A">
        <w:rPr>
          <w:sz w:val="28"/>
          <w:szCs w:val="28"/>
        </w:rPr>
        <w:t>Cashless Society Working Party</w:t>
      </w:r>
      <w:r w:rsidR="0076508E">
        <w:rPr>
          <w:sz w:val="28"/>
          <w:szCs w:val="28"/>
        </w:rPr>
        <w:t xml:space="preserve"> (CSWP)</w:t>
      </w:r>
    </w:p>
    <w:p w14:paraId="6ADDB821" w14:textId="77777777" w:rsidR="0097240A" w:rsidRDefault="0097240A"/>
    <w:p w14:paraId="56EDAFBD" w14:textId="77777777" w:rsidR="0097240A" w:rsidRDefault="0097240A" w:rsidP="0097240A">
      <w:pPr>
        <w:pStyle w:val="Normal1"/>
      </w:pPr>
      <w:r>
        <w:t>The Cashless Society Working Party research delivers a neutral, analytical assessment of developments to comprehend benefits, risks and issues of a cashless society at global level. It provides insights into specialist economic topics and identifies opportunities to learn from international experiences, and to adapt public policy. It also provides insights into stakeholder interests that underpin entrenched positions on the transition in progress.</w:t>
      </w:r>
    </w:p>
    <w:p w14:paraId="654B36AF" w14:textId="77777777" w:rsidR="0097240A" w:rsidRDefault="0097240A"/>
    <w:p w14:paraId="117DB2EA" w14:textId="77777777" w:rsidR="0097240A" w:rsidRDefault="0097240A">
      <w:r w:rsidRPr="0097240A">
        <w:rPr>
          <w:u w:val="single"/>
        </w:rPr>
        <w:t>Background</w:t>
      </w:r>
      <w:r>
        <w:t>:</w:t>
      </w:r>
    </w:p>
    <w:p w14:paraId="1E457E98" w14:textId="12467D53" w:rsidR="0097240A" w:rsidRDefault="00447417">
      <w:r>
        <w:t>The Cashless S</w:t>
      </w:r>
      <w:r w:rsidR="0097240A">
        <w:t>ociety Working Party</w:t>
      </w:r>
      <w:r w:rsidR="00B24060">
        <w:rPr>
          <w:rStyle w:val="FootnoteReference"/>
        </w:rPr>
        <w:footnoteReference w:id="1"/>
      </w:r>
      <w:r w:rsidR="0097240A">
        <w:t xml:space="preserve"> was founded </w:t>
      </w:r>
      <w:r>
        <w:t>in late 2016.</w:t>
      </w:r>
      <w:r w:rsidR="0097240A">
        <w:t xml:space="preserve"> </w:t>
      </w:r>
      <w:r>
        <w:t>I</w:t>
      </w:r>
      <w:r w:rsidR="0097240A">
        <w:t>t focused on exploring the implications of a cashless society</w:t>
      </w:r>
      <w:r>
        <w:t xml:space="preserve"> and societies in the process of de-cashing</w:t>
      </w:r>
      <w:r w:rsidR="0097240A">
        <w:t>, and presented an interim report at an IFoA sessional early 2018: “A Cashless Society- Benefits, Risks and Issues”.</w:t>
      </w:r>
    </w:p>
    <w:p w14:paraId="6B1660E9" w14:textId="77777777" w:rsidR="0097240A" w:rsidRDefault="0097240A"/>
    <w:p w14:paraId="5490C6BA" w14:textId="6A5C0C7B" w:rsidR="0097240A" w:rsidRDefault="0097240A">
      <w:r>
        <w:t>The Working Party researched a number of specialist topics throughout 2018, publishing several papers</w:t>
      </w:r>
      <w:r w:rsidR="005C5A10">
        <w:t xml:space="preserve"> and taking part in government consultations</w:t>
      </w:r>
      <w:r>
        <w:t>.</w:t>
      </w:r>
    </w:p>
    <w:p w14:paraId="51249F9E" w14:textId="77777777" w:rsidR="0097240A" w:rsidRDefault="0097240A"/>
    <w:p w14:paraId="050C4645" w14:textId="77777777" w:rsidR="0097240A" w:rsidRPr="0097240A" w:rsidRDefault="0097240A">
      <w:pPr>
        <w:rPr>
          <w:u w:val="single"/>
        </w:rPr>
      </w:pPr>
      <w:bookmarkStart w:id="1" w:name="ToR2019"/>
      <w:bookmarkEnd w:id="1"/>
      <w:r w:rsidRPr="0097240A">
        <w:rPr>
          <w:u w:val="single"/>
        </w:rPr>
        <w:t>2019 Terms of Reference</w:t>
      </w:r>
    </w:p>
    <w:p w14:paraId="42F07EB0" w14:textId="77777777" w:rsidR="0097240A" w:rsidRDefault="0097240A"/>
    <w:p w14:paraId="1F38F391" w14:textId="77777777" w:rsidR="0097240A" w:rsidRDefault="0097240A">
      <w:r>
        <w:t>The Working Party seeks to engage with stakeholders throughout 2019:</w:t>
      </w:r>
    </w:p>
    <w:p w14:paraId="66E4BC0B" w14:textId="46E4215F" w:rsidR="0097240A" w:rsidRDefault="0097240A" w:rsidP="00CB0B4E">
      <w:pPr>
        <w:pStyle w:val="ListParagraph"/>
        <w:numPr>
          <w:ilvl w:val="0"/>
          <w:numId w:val="2"/>
        </w:numPr>
      </w:pPr>
      <w:r w:rsidRPr="00447417">
        <w:rPr>
          <w:b/>
        </w:rPr>
        <w:t>Internally</w:t>
      </w:r>
      <w:r>
        <w:t xml:space="preserve"> to the </w:t>
      </w:r>
      <w:r w:rsidR="00A004B8">
        <w:t xml:space="preserve">actuarial </w:t>
      </w:r>
      <w:r>
        <w:t xml:space="preserve">profession. Possible outputs include participation at actuarial conference, and joint efforts with related IFoA working parties to raise the profile of the topic with other </w:t>
      </w:r>
      <w:r w:rsidR="005C5A10">
        <w:t xml:space="preserve">actuarial </w:t>
      </w:r>
      <w:r>
        <w:t xml:space="preserve">research groups. </w:t>
      </w:r>
    </w:p>
    <w:p w14:paraId="700EDEF0" w14:textId="54246084" w:rsidR="0097240A" w:rsidRDefault="005C5A10" w:rsidP="00CB0B4E">
      <w:pPr>
        <w:pStyle w:val="ListParagraph"/>
        <w:numPr>
          <w:ilvl w:val="0"/>
          <w:numId w:val="2"/>
        </w:numPr>
      </w:pPr>
      <w:r w:rsidRPr="00447417">
        <w:rPr>
          <w:b/>
        </w:rPr>
        <w:t>External stakeholders</w:t>
      </w:r>
      <w:r>
        <w:t xml:space="preserve">, </w:t>
      </w:r>
      <w:r w:rsidR="00B24060">
        <w:t xml:space="preserve">either </w:t>
      </w:r>
      <w:r>
        <w:t>directly relevant to the actuarial profession, and others relevant to the topic. Engageme</w:t>
      </w:r>
      <w:r w:rsidR="00447417">
        <w:t>nt might</w:t>
      </w:r>
      <w:r>
        <w:t xml:space="preserve"> include one or more roundtables, and dissemination of the working party’s knowledge through articles in targeted media.</w:t>
      </w:r>
    </w:p>
    <w:p w14:paraId="058BA171" w14:textId="77777777" w:rsidR="0097240A" w:rsidRDefault="0097240A"/>
    <w:p w14:paraId="28FC2E31" w14:textId="77777777" w:rsidR="00CB0B4E" w:rsidRDefault="00CB0B4E">
      <w:r>
        <w:t>2019 research activities will prioritise the following themes:</w:t>
      </w:r>
    </w:p>
    <w:p w14:paraId="00DF2D9F" w14:textId="6A1A72DB" w:rsidR="00F719B0" w:rsidRDefault="00F719B0" w:rsidP="00F719B0">
      <w:pPr>
        <w:pStyle w:val="ListParagraph"/>
        <w:numPr>
          <w:ilvl w:val="0"/>
          <w:numId w:val="4"/>
        </w:numPr>
      </w:pPr>
      <w:r>
        <w:t>Financial inclusion, with a related interest in developing countries,</w:t>
      </w:r>
    </w:p>
    <w:p w14:paraId="5B9E349E" w14:textId="5E74746F" w:rsidR="00F719B0" w:rsidRDefault="00F719B0" w:rsidP="00F719B0">
      <w:pPr>
        <w:pStyle w:val="ListParagraph"/>
        <w:numPr>
          <w:ilvl w:val="0"/>
          <w:numId w:val="4"/>
        </w:numPr>
      </w:pPr>
      <w:r>
        <w:t>Risks and issues of de-cashing,</w:t>
      </w:r>
      <w:r w:rsidR="0076508E">
        <w:t xml:space="preserve"> and related transition management,</w:t>
      </w:r>
    </w:p>
    <w:p w14:paraId="6F8EE053" w14:textId="5BCDBE39" w:rsidR="00F719B0" w:rsidRDefault="00F719B0" w:rsidP="00F719B0">
      <w:pPr>
        <w:pStyle w:val="ListParagraph"/>
        <w:numPr>
          <w:ilvl w:val="0"/>
          <w:numId w:val="4"/>
        </w:numPr>
      </w:pPr>
      <w:r>
        <w:t xml:space="preserve">Central Bank Digital Currencies and </w:t>
      </w:r>
      <w:r w:rsidR="0076508E">
        <w:t xml:space="preserve">related </w:t>
      </w:r>
      <w:r w:rsidR="006D7FE8">
        <w:t>crypto currencies/ assets.</w:t>
      </w:r>
    </w:p>
    <w:p w14:paraId="0C2E62B1" w14:textId="77777777" w:rsidR="00F719B0" w:rsidRDefault="00F719B0" w:rsidP="00F719B0"/>
    <w:p w14:paraId="5C441930" w14:textId="5740B860" w:rsidR="00CB0B4E" w:rsidRDefault="00CB0B4E" w:rsidP="00F719B0">
      <w:r>
        <w:t xml:space="preserve"> </w:t>
      </w:r>
    </w:p>
    <w:p w14:paraId="60D4CF42" w14:textId="77777777" w:rsidR="00F719B0" w:rsidRDefault="00F719B0" w:rsidP="00F719B0"/>
    <w:p w14:paraId="5F1FF9BB" w14:textId="77777777" w:rsidR="00F719B0" w:rsidRDefault="00F719B0" w:rsidP="00F719B0"/>
    <w:p w14:paraId="68BC6435" w14:textId="1E5D26F6" w:rsidR="00F719B0" w:rsidRDefault="00F719B0">
      <w:r>
        <w:br w:type="page"/>
      </w:r>
    </w:p>
    <w:p w14:paraId="76AC7FCF" w14:textId="41DB21E2" w:rsidR="00F719B0" w:rsidRPr="00DA2535" w:rsidRDefault="00DA2535" w:rsidP="00DA2535">
      <w:pPr>
        <w:pBdr>
          <w:bottom w:val="single" w:sz="6" w:space="1" w:color="auto"/>
        </w:pBdr>
        <w:jc w:val="center"/>
        <w:rPr>
          <w:sz w:val="28"/>
          <w:szCs w:val="28"/>
        </w:rPr>
      </w:pPr>
      <w:r w:rsidRPr="00DA2535">
        <w:rPr>
          <w:sz w:val="28"/>
          <w:szCs w:val="28"/>
        </w:rPr>
        <w:lastRenderedPageBreak/>
        <w:t>Work plan</w:t>
      </w:r>
      <w:r w:rsidR="0086318B">
        <w:rPr>
          <w:sz w:val="28"/>
          <w:szCs w:val="28"/>
        </w:rPr>
        <w:t xml:space="preserve"> </w:t>
      </w:r>
      <w:r w:rsidR="009B4D07">
        <w:rPr>
          <w:sz w:val="28"/>
          <w:szCs w:val="28"/>
        </w:rPr>
        <w:t>approach</w:t>
      </w:r>
    </w:p>
    <w:p w14:paraId="5F16591A" w14:textId="77777777" w:rsidR="00DA2535" w:rsidRDefault="00DA2535" w:rsidP="00F719B0"/>
    <w:p w14:paraId="7DC7AF2B" w14:textId="33133389" w:rsidR="00DA2535" w:rsidRDefault="00DA2535" w:rsidP="00DA2535">
      <w:pPr>
        <w:pStyle w:val="Heading2"/>
      </w:pPr>
      <w:bookmarkStart w:id="2" w:name="Scope2018"/>
      <w:bookmarkEnd w:id="2"/>
      <w:r>
        <w:t>Closure of 2018 scope</w:t>
      </w:r>
    </w:p>
    <w:p w14:paraId="7097FFBA" w14:textId="77777777" w:rsidR="00DA2535" w:rsidRDefault="00DA2535" w:rsidP="00DA2535"/>
    <w:p w14:paraId="11453A1F" w14:textId="235AE17F" w:rsidR="00DA2535" w:rsidRDefault="008B5BD8" w:rsidP="00DA2535">
      <w:r>
        <w:t xml:space="preserve">A number of papers related to 2018 research will complete their publishing cycle; the associated workstream may continue </w:t>
      </w:r>
      <w:r w:rsidR="0086318B">
        <w:t xml:space="preserve">in part or full </w:t>
      </w:r>
      <w:r>
        <w:t>under the 2019 scope, as some th</w:t>
      </w:r>
      <w:r w:rsidR="007A384B">
        <w:t>emes are carried forward. Most will be closed post publishing</w:t>
      </w:r>
      <w:r>
        <w:t>.</w:t>
      </w:r>
    </w:p>
    <w:p w14:paraId="46AFB532" w14:textId="77777777" w:rsidR="00DA2535" w:rsidRDefault="00DA2535" w:rsidP="00DA2535"/>
    <w:tbl>
      <w:tblPr>
        <w:tblW w:w="92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80"/>
        <w:gridCol w:w="4301"/>
      </w:tblGrid>
      <w:tr w:rsidR="00DA2535" w14:paraId="4A890281" w14:textId="77777777" w:rsidTr="00DA2535">
        <w:trPr>
          <w:trHeight w:val="304"/>
        </w:trPr>
        <w:tc>
          <w:tcPr>
            <w:tcW w:w="4980" w:type="dxa"/>
          </w:tcPr>
          <w:p w14:paraId="4714BC9F" w14:textId="77777777" w:rsidR="00DA2535" w:rsidRDefault="00DA2535" w:rsidP="00DA2535">
            <w:pPr>
              <w:pStyle w:val="Normal1"/>
              <w:widowControl w:val="0"/>
              <w:pBdr>
                <w:top w:val="nil"/>
                <w:left w:val="nil"/>
                <w:bottom w:val="nil"/>
                <w:right w:val="nil"/>
                <w:between w:val="nil"/>
              </w:pBdr>
              <w:spacing w:line="276" w:lineRule="auto"/>
              <w:rPr>
                <w:rFonts w:ascii="Arial" w:eastAsia="Arial" w:hAnsi="Arial" w:cs="Arial"/>
                <w:b/>
                <w:color w:val="000000"/>
                <w:sz w:val="22"/>
                <w:szCs w:val="22"/>
              </w:rPr>
            </w:pPr>
            <w:r>
              <w:rPr>
                <w:rFonts w:ascii="Arial" w:eastAsia="Arial" w:hAnsi="Arial" w:cs="Arial"/>
                <w:b/>
                <w:color w:val="000000"/>
                <w:sz w:val="22"/>
                <w:szCs w:val="22"/>
              </w:rPr>
              <w:t>Workstream</w:t>
            </w:r>
          </w:p>
        </w:tc>
        <w:tc>
          <w:tcPr>
            <w:tcW w:w="4301" w:type="dxa"/>
          </w:tcPr>
          <w:p w14:paraId="0194F509" w14:textId="4711C510" w:rsidR="00DA2535" w:rsidRDefault="00881C9A" w:rsidP="00DA2535">
            <w:pPr>
              <w:pStyle w:val="Normal1"/>
              <w:widowControl w:val="0"/>
              <w:pBdr>
                <w:top w:val="nil"/>
                <w:left w:val="nil"/>
                <w:bottom w:val="nil"/>
                <w:right w:val="nil"/>
                <w:between w:val="nil"/>
              </w:pBdr>
              <w:spacing w:line="276" w:lineRule="auto"/>
              <w:rPr>
                <w:rFonts w:ascii="Arial" w:eastAsia="Arial" w:hAnsi="Arial" w:cs="Arial"/>
                <w:b/>
                <w:color w:val="000000"/>
                <w:sz w:val="22"/>
                <w:szCs w:val="22"/>
              </w:rPr>
            </w:pPr>
            <w:r>
              <w:rPr>
                <w:rFonts w:ascii="Arial" w:eastAsia="Arial" w:hAnsi="Arial" w:cs="Arial"/>
                <w:b/>
                <w:color w:val="000000"/>
                <w:sz w:val="22"/>
                <w:szCs w:val="22"/>
              </w:rPr>
              <w:t>2019 Q1 direction</w:t>
            </w:r>
          </w:p>
        </w:tc>
      </w:tr>
      <w:tr w:rsidR="00DA2535" w14:paraId="39058621" w14:textId="77777777" w:rsidTr="00DA2535">
        <w:trPr>
          <w:trHeight w:val="304"/>
        </w:trPr>
        <w:tc>
          <w:tcPr>
            <w:tcW w:w="4980" w:type="dxa"/>
          </w:tcPr>
          <w:p w14:paraId="0531FD76" w14:textId="77777777" w:rsidR="00DA2535" w:rsidRDefault="00DA2535" w:rsidP="00DA2535">
            <w:pPr>
              <w:pStyle w:val="Normal1"/>
              <w:widowControl w:val="0"/>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Life assurance and pensions</w:t>
            </w:r>
          </w:p>
        </w:tc>
        <w:tc>
          <w:tcPr>
            <w:tcW w:w="4301" w:type="dxa"/>
          </w:tcPr>
          <w:p w14:paraId="69D55AB3" w14:textId="1AC478F4" w:rsidR="00DA2535" w:rsidRDefault="00881C9A" w:rsidP="00DA2535">
            <w:pPr>
              <w:pStyle w:val="Normal1"/>
              <w:widowControl w:val="0"/>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Review and publish</w:t>
            </w:r>
          </w:p>
        </w:tc>
      </w:tr>
      <w:tr w:rsidR="00DA2535" w14:paraId="7E93B02F" w14:textId="77777777" w:rsidTr="00DA2535">
        <w:trPr>
          <w:trHeight w:val="304"/>
        </w:trPr>
        <w:tc>
          <w:tcPr>
            <w:tcW w:w="4980" w:type="dxa"/>
          </w:tcPr>
          <w:p w14:paraId="23F7788E" w14:textId="77777777" w:rsidR="00DA2535" w:rsidRDefault="00DA2535" w:rsidP="00DA2535">
            <w:pPr>
              <w:pStyle w:val="Normal1"/>
              <w:widowControl w:val="0"/>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Financial inclusion</w:t>
            </w:r>
          </w:p>
        </w:tc>
        <w:tc>
          <w:tcPr>
            <w:tcW w:w="4301" w:type="dxa"/>
          </w:tcPr>
          <w:p w14:paraId="67D8ADE2" w14:textId="651D2EAD" w:rsidR="00DA2535" w:rsidRDefault="00881C9A" w:rsidP="00DA2535">
            <w:pPr>
              <w:pStyle w:val="Normal1"/>
              <w:widowControl w:val="0"/>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Transfer to 2019 scope</w:t>
            </w:r>
          </w:p>
        </w:tc>
      </w:tr>
      <w:tr w:rsidR="00DA2535" w14:paraId="3A3FDCBC" w14:textId="77777777" w:rsidTr="00DA2535">
        <w:trPr>
          <w:trHeight w:val="304"/>
        </w:trPr>
        <w:tc>
          <w:tcPr>
            <w:tcW w:w="4980" w:type="dxa"/>
          </w:tcPr>
          <w:p w14:paraId="02DAE94C" w14:textId="77777777" w:rsidR="00DA2535" w:rsidRDefault="00DA2535" w:rsidP="00DA2535">
            <w:pPr>
              <w:pStyle w:val="Normal1"/>
              <w:widowControl w:val="0"/>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APT</w:t>
            </w:r>
          </w:p>
        </w:tc>
        <w:tc>
          <w:tcPr>
            <w:tcW w:w="4301" w:type="dxa"/>
          </w:tcPr>
          <w:p w14:paraId="2334C394" w14:textId="36B9FB00" w:rsidR="00DA2535" w:rsidRDefault="002D5B50" w:rsidP="00DA2535">
            <w:pPr>
              <w:pStyle w:val="Normal1"/>
              <w:widowControl w:val="0"/>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On hold</w:t>
            </w:r>
          </w:p>
        </w:tc>
      </w:tr>
      <w:tr w:rsidR="00DA2535" w14:paraId="0913D3FF" w14:textId="77777777" w:rsidTr="00DA2535">
        <w:trPr>
          <w:trHeight w:val="304"/>
        </w:trPr>
        <w:tc>
          <w:tcPr>
            <w:tcW w:w="4980" w:type="dxa"/>
          </w:tcPr>
          <w:p w14:paraId="3F03EC38" w14:textId="77777777" w:rsidR="00DA2535" w:rsidRDefault="00DA2535" w:rsidP="00DA2535">
            <w:pPr>
              <w:pStyle w:val="Normal1"/>
              <w:widowControl w:val="0"/>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Transition management</w:t>
            </w:r>
          </w:p>
        </w:tc>
        <w:tc>
          <w:tcPr>
            <w:tcW w:w="4301" w:type="dxa"/>
          </w:tcPr>
          <w:p w14:paraId="1489E49B" w14:textId="2F8B20D9" w:rsidR="00DA2535" w:rsidRDefault="00881C9A" w:rsidP="00DA2535">
            <w:pPr>
              <w:pStyle w:val="Normal1"/>
              <w:widowControl w:val="0"/>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Transfer to 2019 scope</w:t>
            </w:r>
          </w:p>
        </w:tc>
      </w:tr>
      <w:tr w:rsidR="00DA2535" w14:paraId="39102DCD" w14:textId="77777777" w:rsidTr="00DA2535">
        <w:trPr>
          <w:trHeight w:val="304"/>
        </w:trPr>
        <w:tc>
          <w:tcPr>
            <w:tcW w:w="4980" w:type="dxa"/>
          </w:tcPr>
          <w:p w14:paraId="58B88E44" w14:textId="17DEFAAE" w:rsidR="00DA2535" w:rsidRDefault="00DA2535" w:rsidP="00DA2535">
            <w:pPr>
              <w:pStyle w:val="Normal1"/>
              <w:widowControl w:val="0"/>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International developments: Africa</w:t>
            </w:r>
            <w:r w:rsidR="002D5B50">
              <w:rPr>
                <w:rFonts w:ascii="Arial" w:eastAsia="Arial" w:hAnsi="Arial" w:cs="Arial"/>
                <w:color w:val="000000"/>
                <w:sz w:val="22"/>
                <w:szCs w:val="22"/>
              </w:rPr>
              <w:t xml:space="preserve"> case study</w:t>
            </w:r>
          </w:p>
        </w:tc>
        <w:tc>
          <w:tcPr>
            <w:tcW w:w="4301" w:type="dxa"/>
          </w:tcPr>
          <w:p w14:paraId="3B369C1F" w14:textId="62A310D9" w:rsidR="00DA2535" w:rsidRDefault="00881C9A" w:rsidP="00DA2535">
            <w:pPr>
              <w:pStyle w:val="Normal1"/>
              <w:widowControl w:val="0"/>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Review and publish</w:t>
            </w:r>
          </w:p>
        </w:tc>
        <w:bookmarkStart w:id="3" w:name="_1fob9te" w:colFirst="0" w:colLast="0"/>
        <w:bookmarkEnd w:id="3"/>
      </w:tr>
      <w:tr w:rsidR="00DA2535" w14:paraId="4A53AA68" w14:textId="77777777" w:rsidTr="00DA2535">
        <w:trPr>
          <w:trHeight w:val="304"/>
        </w:trPr>
        <w:tc>
          <w:tcPr>
            <w:tcW w:w="4980" w:type="dxa"/>
          </w:tcPr>
          <w:p w14:paraId="3CB9D176" w14:textId="77777777" w:rsidR="00DA2535" w:rsidRDefault="00DA2535" w:rsidP="00DA2535">
            <w:pPr>
              <w:pStyle w:val="Normal1"/>
              <w:widowControl w:val="0"/>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QR codes/ mobile payments</w:t>
            </w:r>
          </w:p>
        </w:tc>
        <w:tc>
          <w:tcPr>
            <w:tcW w:w="4301" w:type="dxa"/>
          </w:tcPr>
          <w:p w14:paraId="3FA57A5A" w14:textId="7CBABF27" w:rsidR="00DA2535" w:rsidRDefault="00881C9A" w:rsidP="00DA2535">
            <w:pPr>
              <w:pStyle w:val="Normal1"/>
              <w:widowControl w:val="0"/>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Review and publish</w:t>
            </w:r>
          </w:p>
        </w:tc>
      </w:tr>
      <w:tr w:rsidR="00DA2535" w14:paraId="4CD96358" w14:textId="77777777" w:rsidTr="00DA2535">
        <w:trPr>
          <w:trHeight w:val="304"/>
        </w:trPr>
        <w:tc>
          <w:tcPr>
            <w:tcW w:w="4980" w:type="dxa"/>
          </w:tcPr>
          <w:p w14:paraId="06BD3E36" w14:textId="77777777" w:rsidR="00DA2535" w:rsidRDefault="00DA2535" w:rsidP="00DA2535">
            <w:pPr>
              <w:pStyle w:val="Normal1"/>
              <w:widowControl w:val="0"/>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Glossary</w:t>
            </w:r>
          </w:p>
        </w:tc>
        <w:tc>
          <w:tcPr>
            <w:tcW w:w="4301" w:type="dxa"/>
          </w:tcPr>
          <w:p w14:paraId="25085CB5" w14:textId="6043AA38" w:rsidR="00DA2535" w:rsidRDefault="00881C9A" w:rsidP="00DA2535">
            <w:pPr>
              <w:pStyle w:val="Normal1"/>
              <w:widowControl w:val="0"/>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Closed</w:t>
            </w:r>
            <w:r w:rsidR="002D5B50">
              <w:rPr>
                <w:rFonts w:ascii="Arial" w:eastAsia="Arial" w:hAnsi="Arial" w:cs="Arial"/>
                <w:color w:val="000000"/>
                <w:sz w:val="22"/>
                <w:szCs w:val="22"/>
              </w:rPr>
              <w:t>- will be updated when required</w:t>
            </w:r>
          </w:p>
        </w:tc>
      </w:tr>
      <w:tr w:rsidR="00DA2535" w14:paraId="2721917D" w14:textId="77777777" w:rsidTr="00DA2535">
        <w:trPr>
          <w:trHeight w:val="304"/>
        </w:trPr>
        <w:tc>
          <w:tcPr>
            <w:tcW w:w="4980" w:type="dxa"/>
          </w:tcPr>
          <w:p w14:paraId="4AC50DC5" w14:textId="77777777" w:rsidR="00DA2535" w:rsidRDefault="00DA2535" w:rsidP="00DA2535">
            <w:pPr>
              <w:pStyle w:val="Normal1"/>
              <w:widowControl w:val="0"/>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NIRP</w:t>
            </w:r>
          </w:p>
        </w:tc>
        <w:tc>
          <w:tcPr>
            <w:tcW w:w="4301" w:type="dxa"/>
          </w:tcPr>
          <w:p w14:paraId="04AE2080" w14:textId="08DDA20E" w:rsidR="00DA2535" w:rsidRDefault="00881C9A" w:rsidP="00DA2535">
            <w:pPr>
              <w:pStyle w:val="Normal1"/>
              <w:widowControl w:val="0"/>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Closed</w:t>
            </w:r>
          </w:p>
        </w:tc>
      </w:tr>
      <w:tr w:rsidR="00DA2535" w14:paraId="4B22EF75" w14:textId="77777777" w:rsidTr="00DA2535">
        <w:trPr>
          <w:trHeight w:val="304"/>
        </w:trPr>
        <w:tc>
          <w:tcPr>
            <w:tcW w:w="4980" w:type="dxa"/>
          </w:tcPr>
          <w:p w14:paraId="4DD72AB9" w14:textId="77777777" w:rsidR="00DA2535" w:rsidRDefault="00DA2535" w:rsidP="00DA2535">
            <w:pPr>
              <w:pStyle w:val="Normal1"/>
              <w:widowControl w:val="0"/>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Economic effects/ financial stability</w:t>
            </w:r>
          </w:p>
        </w:tc>
        <w:tc>
          <w:tcPr>
            <w:tcW w:w="4301" w:type="dxa"/>
          </w:tcPr>
          <w:p w14:paraId="528ECB88" w14:textId="1651B506" w:rsidR="00DA2535" w:rsidRDefault="00881C9A" w:rsidP="00DA2535">
            <w:pPr>
              <w:pStyle w:val="Normal1"/>
              <w:widowControl w:val="0"/>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Closed</w:t>
            </w:r>
          </w:p>
        </w:tc>
      </w:tr>
      <w:tr w:rsidR="00DA2535" w14:paraId="7C5D39A1" w14:textId="77777777" w:rsidTr="00DA2535">
        <w:trPr>
          <w:trHeight w:val="304"/>
        </w:trPr>
        <w:tc>
          <w:tcPr>
            <w:tcW w:w="4980" w:type="dxa"/>
          </w:tcPr>
          <w:p w14:paraId="1649272F" w14:textId="4A3AE1F6" w:rsidR="00DA2535" w:rsidRDefault="00DA2535" w:rsidP="00881C9A">
            <w:pPr>
              <w:pStyle w:val="Normal1"/>
              <w:widowControl w:val="0"/>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 xml:space="preserve">CBDCs/ </w:t>
            </w:r>
            <w:r w:rsidR="00881C9A">
              <w:rPr>
                <w:rFonts w:ascii="Arial" w:eastAsia="Arial" w:hAnsi="Arial" w:cs="Arial"/>
                <w:color w:val="000000"/>
                <w:sz w:val="22"/>
                <w:szCs w:val="22"/>
              </w:rPr>
              <w:t>crypto assets or currencies</w:t>
            </w:r>
          </w:p>
        </w:tc>
        <w:tc>
          <w:tcPr>
            <w:tcW w:w="4301" w:type="dxa"/>
          </w:tcPr>
          <w:p w14:paraId="0F70FB16" w14:textId="013D6A8B" w:rsidR="00DA2535" w:rsidRDefault="00881C9A" w:rsidP="00DA2535">
            <w:pPr>
              <w:pStyle w:val="Normal1"/>
              <w:widowControl w:val="0"/>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Transfer to 2019 scope</w:t>
            </w:r>
          </w:p>
        </w:tc>
      </w:tr>
      <w:tr w:rsidR="00DA2535" w14:paraId="68A27206" w14:textId="77777777" w:rsidTr="00DA2535">
        <w:trPr>
          <w:trHeight w:val="289"/>
        </w:trPr>
        <w:tc>
          <w:tcPr>
            <w:tcW w:w="4980" w:type="dxa"/>
          </w:tcPr>
          <w:p w14:paraId="1F78D000" w14:textId="77777777" w:rsidR="00DA2535" w:rsidRDefault="00DA2535" w:rsidP="00DA2535">
            <w:pPr>
              <w:pStyle w:val="Normal1"/>
              <w:widowControl w:val="0"/>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 xml:space="preserve">Threats/ privacy, security issues </w:t>
            </w:r>
          </w:p>
        </w:tc>
        <w:tc>
          <w:tcPr>
            <w:tcW w:w="4301" w:type="dxa"/>
          </w:tcPr>
          <w:p w14:paraId="78D042E0" w14:textId="7F07806C" w:rsidR="00DA2535" w:rsidRDefault="00881C9A" w:rsidP="00DA2535">
            <w:pPr>
              <w:pStyle w:val="Normal1"/>
              <w:widowControl w:val="0"/>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Review and publish</w:t>
            </w:r>
            <w:r w:rsidR="002D5B50">
              <w:rPr>
                <w:rFonts w:ascii="Arial" w:eastAsia="Arial" w:hAnsi="Arial" w:cs="Arial"/>
                <w:color w:val="000000"/>
                <w:sz w:val="22"/>
                <w:szCs w:val="22"/>
              </w:rPr>
              <w:t>- Transfer to 2019 scope</w:t>
            </w:r>
            <w:r w:rsidR="006D7FE8">
              <w:rPr>
                <w:rFonts w:ascii="Arial" w:eastAsia="Arial" w:hAnsi="Arial" w:cs="Arial"/>
                <w:color w:val="000000"/>
                <w:sz w:val="22"/>
                <w:szCs w:val="22"/>
              </w:rPr>
              <w:t xml:space="preserve"> (risks and </w:t>
            </w:r>
            <w:proofErr w:type="spellStart"/>
            <w:r w:rsidR="006D7FE8">
              <w:rPr>
                <w:rFonts w:ascii="Arial" w:eastAsia="Arial" w:hAnsi="Arial" w:cs="Arial"/>
                <w:color w:val="000000"/>
                <w:sz w:val="22"/>
                <w:szCs w:val="22"/>
              </w:rPr>
              <w:t>isues</w:t>
            </w:r>
            <w:proofErr w:type="spellEnd"/>
            <w:r w:rsidR="006D7FE8">
              <w:rPr>
                <w:rFonts w:ascii="Arial" w:eastAsia="Arial" w:hAnsi="Arial" w:cs="Arial"/>
                <w:color w:val="000000"/>
                <w:sz w:val="22"/>
                <w:szCs w:val="22"/>
              </w:rPr>
              <w:t>)</w:t>
            </w:r>
          </w:p>
        </w:tc>
      </w:tr>
      <w:tr w:rsidR="00DA2535" w14:paraId="51479421" w14:textId="77777777" w:rsidTr="00DA2535">
        <w:trPr>
          <w:trHeight w:val="304"/>
        </w:trPr>
        <w:tc>
          <w:tcPr>
            <w:tcW w:w="4980" w:type="dxa"/>
          </w:tcPr>
          <w:p w14:paraId="3AFD4AB0" w14:textId="77777777" w:rsidR="00DA2535" w:rsidRDefault="00DA2535" w:rsidP="00DA2535">
            <w:pPr>
              <w:pStyle w:val="Normal1"/>
              <w:widowControl w:val="0"/>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Legal &amp; regulatory</w:t>
            </w:r>
          </w:p>
        </w:tc>
        <w:tc>
          <w:tcPr>
            <w:tcW w:w="4301" w:type="dxa"/>
          </w:tcPr>
          <w:p w14:paraId="22271B1B" w14:textId="56B47ACA" w:rsidR="00DA2535" w:rsidRDefault="00881C9A" w:rsidP="00DA2535">
            <w:pPr>
              <w:pStyle w:val="Normal1"/>
              <w:widowControl w:val="0"/>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Closed</w:t>
            </w:r>
          </w:p>
        </w:tc>
      </w:tr>
      <w:tr w:rsidR="00DA2535" w14:paraId="07277AD8" w14:textId="77777777" w:rsidTr="00DA2535">
        <w:trPr>
          <w:trHeight w:val="304"/>
        </w:trPr>
        <w:tc>
          <w:tcPr>
            <w:tcW w:w="4980" w:type="dxa"/>
          </w:tcPr>
          <w:p w14:paraId="420A8E1B" w14:textId="77777777" w:rsidR="00DA2535" w:rsidRDefault="00DA2535" w:rsidP="00DA2535">
            <w:pPr>
              <w:pStyle w:val="Normal1"/>
              <w:widowControl w:val="0"/>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Blockchain/ smart contract</w:t>
            </w:r>
          </w:p>
        </w:tc>
        <w:tc>
          <w:tcPr>
            <w:tcW w:w="4301" w:type="dxa"/>
          </w:tcPr>
          <w:p w14:paraId="29FA6CAA" w14:textId="771022F2" w:rsidR="00DA2535" w:rsidRDefault="002D5B50" w:rsidP="00DA2535">
            <w:pPr>
              <w:pStyle w:val="Normal1"/>
              <w:widowControl w:val="0"/>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Pending review</w:t>
            </w:r>
          </w:p>
        </w:tc>
      </w:tr>
      <w:tr w:rsidR="00DA2535" w14:paraId="57AAC96C" w14:textId="77777777" w:rsidTr="00DA2535">
        <w:trPr>
          <w:trHeight w:val="304"/>
        </w:trPr>
        <w:tc>
          <w:tcPr>
            <w:tcW w:w="4980" w:type="dxa"/>
          </w:tcPr>
          <w:p w14:paraId="10A07615" w14:textId="77777777" w:rsidR="00DA2535" w:rsidRDefault="00DA2535" w:rsidP="00DA2535">
            <w:pPr>
              <w:pStyle w:val="Normal1"/>
              <w:widowControl w:val="0"/>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Access to responses from HMT call for evidence</w:t>
            </w:r>
          </w:p>
        </w:tc>
        <w:tc>
          <w:tcPr>
            <w:tcW w:w="4301" w:type="dxa"/>
          </w:tcPr>
          <w:p w14:paraId="76DEAD49" w14:textId="08DCDFD6" w:rsidR="00DA2535" w:rsidRDefault="00881C9A" w:rsidP="00DA2535">
            <w:pPr>
              <w:pStyle w:val="Normal1"/>
              <w:widowControl w:val="0"/>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Closed</w:t>
            </w:r>
          </w:p>
        </w:tc>
      </w:tr>
      <w:tr w:rsidR="00DA2535" w14:paraId="4AABDD4B" w14:textId="77777777" w:rsidTr="00DA2535">
        <w:trPr>
          <w:trHeight w:val="304"/>
        </w:trPr>
        <w:tc>
          <w:tcPr>
            <w:tcW w:w="4980" w:type="dxa"/>
          </w:tcPr>
          <w:p w14:paraId="4DFE1078" w14:textId="77777777" w:rsidR="00DA2535" w:rsidRDefault="00DA2535" w:rsidP="00DA2535">
            <w:pPr>
              <w:pStyle w:val="Normal1"/>
              <w:widowControl w:val="0"/>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Issue 21- Environmental impact</w:t>
            </w:r>
          </w:p>
        </w:tc>
        <w:tc>
          <w:tcPr>
            <w:tcW w:w="4301" w:type="dxa"/>
          </w:tcPr>
          <w:p w14:paraId="26CABC70" w14:textId="08CCC530" w:rsidR="00DA2535" w:rsidRDefault="00881C9A" w:rsidP="00DA2535">
            <w:pPr>
              <w:pStyle w:val="Normal1"/>
              <w:widowControl w:val="0"/>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Closed</w:t>
            </w:r>
          </w:p>
        </w:tc>
      </w:tr>
    </w:tbl>
    <w:p w14:paraId="5DC70BD0" w14:textId="77777777" w:rsidR="00DA2535" w:rsidRDefault="00DA2535" w:rsidP="00DA2535"/>
    <w:p w14:paraId="7566F645" w14:textId="3E5BDABB" w:rsidR="008B5BD8" w:rsidRDefault="0086318B" w:rsidP="0086318B">
      <w:pPr>
        <w:pStyle w:val="Heading2"/>
      </w:pPr>
      <w:bookmarkStart w:id="4" w:name="InternalEngagement"/>
      <w:bookmarkEnd w:id="4"/>
      <w:r>
        <w:t>Internal engagement</w:t>
      </w:r>
    </w:p>
    <w:p w14:paraId="4EBF49FF" w14:textId="77777777" w:rsidR="0086318B" w:rsidRDefault="0086318B" w:rsidP="00DA2535"/>
    <w:p w14:paraId="1B869015" w14:textId="3F1EE55D" w:rsidR="0086318B" w:rsidRDefault="00246D87" w:rsidP="00DA2535">
      <w:r w:rsidRPr="009B4D07">
        <w:rPr>
          <w:u w:val="single"/>
        </w:rPr>
        <w:t>Actuarial conference</w:t>
      </w:r>
      <w:r>
        <w:t xml:space="preserve"> participation: </w:t>
      </w:r>
      <w:r w:rsidR="009B4D07">
        <w:t>engagement through Life</w:t>
      </w:r>
      <w:r>
        <w:t xml:space="preserve">, </w:t>
      </w:r>
      <w:r w:rsidR="009B4D07">
        <w:t>F&amp;I conferences or Thought leadership boards.</w:t>
      </w:r>
      <w:r w:rsidR="00191023">
        <w:t xml:space="preserve"> Further articles for the Actuary magazine.</w:t>
      </w:r>
    </w:p>
    <w:p w14:paraId="4444B060" w14:textId="77777777" w:rsidR="009B4D07" w:rsidRDefault="009B4D07" w:rsidP="00DA2535"/>
    <w:p w14:paraId="1D43B798" w14:textId="77777777" w:rsidR="009B4D07" w:rsidRDefault="009B4D07" w:rsidP="00DA2535"/>
    <w:p w14:paraId="142BFE83" w14:textId="019D3B9A" w:rsidR="00246D87" w:rsidRDefault="009B4D07" w:rsidP="00DA2535">
      <w:r>
        <w:t xml:space="preserve">Engagement of </w:t>
      </w:r>
      <w:r w:rsidRPr="009B4D07">
        <w:rPr>
          <w:u w:val="single"/>
        </w:rPr>
        <w:t>related working parties</w:t>
      </w:r>
      <w:r>
        <w:rPr>
          <w:u w:val="single"/>
        </w:rPr>
        <w:t xml:space="preserve">. </w:t>
      </w:r>
      <w:r w:rsidRPr="009B4D07">
        <w:t>The following IFoA working parties</w:t>
      </w:r>
      <w:r>
        <w:t xml:space="preserve"> overlap with the CSWP topics to some degree, </w:t>
      </w:r>
      <w:proofErr w:type="spellStart"/>
      <w:r>
        <w:t>inc</w:t>
      </w:r>
      <w:proofErr w:type="spellEnd"/>
      <w:r>
        <w:t>:</w:t>
      </w:r>
    </w:p>
    <w:p w14:paraId="2AA47159" w14:textId="3869727F" w:rsidR="009B4D07" w:rsidRDefault="009B4D07" w:rsidP="009B4D07">
      <w:pPr>
        <w:pStyle w:val="ListParagraph"/>
        <w:numPr>
          <w:ilvl w:val="0"/>
          <w:numId w:val="6"/>
        </w:numPr>
      </w:pPr>
      <w:r>
        <w:t>Cyber security,</w:t>
      </w:r>
    </w:p>
    <w:p w14:paraId="08043560" w14:textId="405A369F" w:rsidR="009B4D07" w:rsidRDefault="009B4D07" w:rsidP="009B4D07">
      <w:pPr>
        <w:pStyle w:val="ListParagraph"/>
        <w:numPr>
          <w:ilvl w:val="0"/>
          <w:numId w:val="6"/>
        </w:numPr>
      </w:pPr>
      <w:r>
        <w:t>Wearables,</w:t>
      </w:r>
    </w:p>
    <w:p w14:paraId="6C0B44B3" w14:textId="000AAB01" w:rsidR="009B4D07" w:rsidRDefault="009B4D07" w:rsidP="009B4D07">
      <w:pPr>
        <w:pStyle w:val="ListParagraph"/>
        <w:numPr>
          <w:ilvl w:val="0"/>
          <w:numId w:val="6"/>
        </w:numPr>
      </w:pPr>
      <w:r>
        <w:t>Climate change,</w:t>
      </w:r>
    </w:p>
    <w:p w14:paraId="4396E7F5" w14:textId="344F085A" w:rsidR="009B4D07" w:rsidRDefault="009B4D07" w:rsidP="009B4D07">
      <w:pPr>
        <w:pStyle w:val="ListParagraph"/>
        <w:numPr>
          <w:ilvl w:val="0"/>
          <w:numId w:val="6"/>
        </w:numPr>
      </w:pPr>
      <w:r>
        <w:t>Financial literacy,</w:t>
      </w:r>
    </w:p>
    <w:p w14:paraId="2C01EEB8" w14:textId="57002702" w:rsidR="009B4D07" w:rsidRDefault="009B4D07" w:rsidP="009B4D07">
      <w:pPr>
        <w:pStyle w:val="ListParagraph"/>
        <w:numPr>
          <w:ilvl w:val="0"/>
          <w:numId w:val="6"/>
        </w:numPr>
      </w:pPr>
      <w:r>
        <w:t>Consumer risk metrics,</w:t>
      </w:r>
    </w:p>
    <w:p w14:paraId="01553093" w14:textId="376A6C8C" w:rsidR="009B4D07" w:rsidRDefault="009B4D07" w:rsidP="009B4D07">
      <w:pPr>
        <w:pStyle w:val="ListParagraph"/>
        <w:numPr>
          <w:ilvl w:val="0"/>
          <w:numId w:val="6"/>
        </w:numPr>
      </w:pPr>
      <w:proofErr w:type="spellStart"/>
      <w:r>
        <w:t>Behavioural</w:t>
      </w:r>
      <w:proofErr w:type="spellEnd"/>
      <w:r>
        <w:t xml:space="preserve"> finance,</w:t>
      </w:r>
    </w:p>
    <w:p w14:paraId="228730DE" w14:textId="64A7461C" w:rsidR="009B4D07" w:rsidRDefault="009B4D07" w:rsidP="009B4D07">
      <w:pPr>
        <w:pStyle w:val="ListParagraph"/>
        <w:numPr>
          <w:ilvl w:val="0"/>
          <w:numId w:val="6"/>
        </w:numPr>
      </w:pPr>
      <w:r>
        <w:t>Risk management in a digital world,</w:t>
      </w:r>
    </w:p>
    <w:p w14:paraId="4929D398" w14:textId="00397C7D" w:rsidR="009B4D07" w:rsidRPr="009B4D07" w:rsidRDefault="009B4D07" w:rsidP="009B4D07">
      <w:pPr>
        <w:pStyle w:val="ListParagraph"/>
        <w:numPr>
          <w:ilvl w:val="0"/>
          <w:numId w:val="6"/>
        </w:numPr>
      </w:pPr>
      <w:r>
        <w:t>Finance consumer interest group.</w:t>
      </w:r>
    </w:p>
    <w:p w14:paraId="354817E7" w14:textId="77777777" w:rsidR="00696548" w:rsidRDefault="00696548" w:rsidP="00DA2535"/>
    <w:p w14:paraId="66C9C479" w14:textId="77777777" w:rsidR="00B24060" w:rsidRDefault="00B24060" w:rsidP="00DA2535"/>
    <w:p w14:paraId="65834D8A" w14:textId="77777777" w:rsidR="00B24060" w:rsidRDefault="00B24060" w:rsidP="00DA2535"/>
    <w:p w14:paraId="49E710F8" w14:textId="29C9C413" w:rsidR="009B4D07" w:rsidRDefault="00696548" w:rsidP="00DA2535">
      <w:r>
        <w:lastRenderedPageBreak/>
        <w:t>Engagement with other working parties could take the following approach:</w:t>
      </w:r>
    </w:p>
    <w:p w14:paraId="498B825F" w14:textId="1F834CDD" w:rsidR="00696548" w:rsidRDefault="00696548" w:rsidP="00696548">
      <w:pPr>
        <w:pStyle w:val="ListParagraph"/>
        <w:numPr>
          <w:ilvl w:val="0"/>
          <w:numId w:val="8"/>
        </w:numPr>
      </w:pPr>
      <w:r>
        <w:t xml:space="preserve">First approach communicating CSWP work, findings, and relevance to </w:t>
      </w:r>
      <w:r w:rsidR="0076508E">
        <w:t xml:space="preserve">the </w:t>
      </w:r>
      <w:r w:rsidR="00FE3973">
        <w:t>other working parties</w:t>
      </w:r>
      <w:r>
        <w:t>,</w:t>
      </w:r>
    </w:p>
    <w:p w14:paraId="480088C2" w14:textId="15119D2C" w:rsidR="00696548" w:rsidRDefault="00696548" w:rsidP="00696548">
      <w:pPr>
        <w:pStyle w:val="ListParagraph"/>
        <w:numPr>
          <w:ilvl w:val="0"/>
          <w:numId w:val="8"/>
        </w:numPr>
      </w:pPr>
      <w:r>
        <w:t>Request to attend a future WP meeting to explore shared interests/ synergies,</w:t>
      </w:r>
    </w:p>
    <w:p w14:paraId="413E70AB" w14:textId="5FC7670A" w:rsidR="00696548" w:rsidRDefault="00696548" w:rsidP="00696548">
      <w:pPr>
        <w:pStyle w:val="ListParagraph"/>
        <w:numPr>
          <w:ilvl w:val="0"/>
          <w:numId w:val="8"/>
        </w:numPr>
      </w:pPr>
      <w:r>
        <w:t>Request to the other WPs to call out cashless society relevant thoughts in future research outputs,</w:t>
      </w:r>
    </w:p>
    <w:p w14:paraId="6745F61A" w14:textId="77777777" w:rsidR="00696548" w:rsidRDefault="00696548" w:rsidP="00696548">
      <w:pPr>
        <w:pStyle w:val="ListParagraph"/>
        <w:numPr>
          <w:ilvl w:val="0"/>
          <w:numId w:val="8"/>
        </w:numPr>
      </w:pPr>
      <w:r>
        <w:t>Consider collaboration for activities in shared interests.</w:t>
      </w:r>
    </w:p>
    <w:p w14:paraId="43E76C94" w14:textId="77777777" w:rsidR="00696548" w:rsidRDefault="00696548" w:rsidP="00696548"/>
    <w:p w14:paraId="239E9E47" w14:textId="0C84E6A4" w:rsidR="00696548" w:rsidRDefault="00B24060" w:rsidP="00696548">
      <w:r>
        <w:t xml:space="preserve">The </w:t>
      </w:r>
      <w:r w:rsidRPr="00B24060">
        <w:rPr>
          <w:u w:val="single"/>
        </w:rPr>
        <w:t>IFoA executive</w:t>
      </w:r>
      <w:r>
        <w:t xml:space="preserve"> might a</w:t>
      </w:r>
      <w:r w:rsidR="00542D5B">
        <w:t xml:space="preserve">ssess potential for </w:t>
      </w:r>
      <w:r w:rsidR="00696548">
        <w:t xml:space="preserve">IFoA level message from collective research above, </w:t>
      </w:r>
      <w:proofErr w:type="spellStart"/>
      <w:r w:rsidR="00696548">
        <w:t>eg</w:t>
      </w:r>
      <w:proofErr w:type="spellEnd"/>
      <w:r w:rsidR="00696548">
        <w:t>: relevance of actuaries in the 4</w:t>
      </w:r>
      <w:r w:rsidR="00696548" w:rsidRPr="00696548">
        <w:rPr>
          <w:vertAlign w:val="superscript"/>
        </w:rPr>
        <w:t>th</w:t>
      </w:r>
      <w:r w:rsidR="00696548">
        <w:t xml:space="preserve"> industrial revolution</w:t>
      </w:r>
      <w:r w:rsidR="007A384B">
        <w:t xml:space="preserve"> (video, sessional or conference)</w:t>
      </w:r>
      <w:r w:rsidR="00696548">
        <w:t>.</w:t>
      </w:r>
    </w:p>
    <w:p w14:paraId="63155367" w14:textId="77777777" w:rsidR="00696548" w:rsidRDefault="00696548" w:rsidP="00696548"/>
    <w:p w14:paraId="5F477D4E" w14:textId="172AE163" w:rsidR="00696548" w:rsidRDefault="00696548" w:rsidP="00696548">
      <w:r>
        <w:t xml:space="preserve"> </w:t>
      </w:r>
    </w:p>
    <w:p w14:paraId="18094D24" w14:textId="6746554A" w:rsidR="00246D87" w:rsidRDefault="007A384B" w:rsidP="007A384B">
      <w:pPr>
        <w:pStyle w:val="Heading2"/>
      </w:pPr>
      <w:bookmarkStart w:id="5" w:name="ExternalEngagement"/>
      <w:bookmarkEnd w:id="5"/>
      <w:r>
        <w:t>External engagement</w:t>
      </w:r>
    </w:p>
    <w:p w14:paraId="7089887F" w14:textId="77777777" w:rsidR="007A384B" w:rsidRDefault="007A384B" w:rsidP="00DA2535"/>
    <w:p w14:paraId="1042DA1E" w14:textId="67F30813" w:rsidR="007A384B" w:rsidRDefault="00311B43" w:rsidP="00DA2535">
      <w:r>
        <w:rPr>
          <w:u w:val="single"/>
        </w:rPr>
        <w:t xml:space="preserve">1- </w:t>
      </w:r>
      <w:r w:rsidRPr="00311B43">
        <w:rPr>
          <w:u w:val="single"/>
        </w:rPr>
        <w:t>Roundtable</w:t>
      </w:r>
      <w:r>
        <w:t xml:space="preserve"> with interven</w:t>
      </w:r>
      <w:r w:rsidR="00FE3973">
        <w:t>tions from representatives of each of the</w:t>
      </w:r>
      <w:r>
        <w:t xml:space="preserve"> stakeholders, followed by discussion. Held at Staple Inn. UK stakeholders oriented.</w:t>
      </w:r>
    </w:p>
    <w:p w14:paraId="169B1B57" w14:textId="10B2430E" w:rsidR="00311B43" w:rsidRDefault="00311B43" w:rsidP="00311B43">
      <w:r>
        <w:t xml:space="preserve">Proposed topic: </w:t>
      </w:r>
      <w:r w:rsidRPr="00FE3973">
        <w:rPr>
          <w:i/>
        </w:rPr>
        <w:t>“How do we transition people away from using cash, and do we need to do it?”</w:t>
      </w:r>
    </w:p>
    <w:p w14:paraId="21C324B0" w14:textId="14D6AA11" w:rsidR="00311B43" w:rsidRDefault="00311B43" w:rsidP="00311B43">
      <w:r>
        <w:t>Outcome: white paper with recommendations.</w:t>
      </w:r>
    </w:p>
    <w:p w14:paraId="74CDC39F" w14:textId="4B5EC760" w:rsidR="00311B43" w:rsidRDefault="00311B43" w:rsidP="00311B43">
      <w:r>
        <w:t>Additional outcome: identify potential members for future focus groups.</w:t>
      </w:r>
    </w:p>
    <w:p w14:paraId="37DCFD4C" w14:textId="77777777" w:rsidR="00311B43" w:rsidRDefault="00311B43" w:rsidP="00311B43"/>
    <w:p w14:paraId="66FF8CE9" w14:textId="21C508E2" w:rsidR="00311B43" w:rsidRDefault="00311B43" w:rsidP="00311B43">
      <w:r>
        <w:t xml:space="preserve">2- Placement of articles/ smaller text in </w:t>
      </w:r>
      <w:proofErr w:type="gramStart"/>
      <w:r>
        <w:t>non actuarial</w:t>
      </w:r>
      <w:proofErr w:type="gramEnd"/>
      <w:r>
        <w:t xml:space="preserve"> media.</w:t>
      </w:r>
    </w:p>
    <w:p w14:paraId="66ECB412" w14:textId="3D3F27CD" w:rsidR="00311B43" w:rsidRDefault="00311B43" w:rsidP="00311B43">
      <w:r>
        <w:t>Identify target media, and obtain 2019 features list. Select and approach media for proposal.</w:t>
      </w:r>
    </w:p>
    <w:p w14:paraId="515FE5CB" w14:textId="77777777" w:rsidR="00311B43" w:rsidRPr="00311B43" w:rsidRDefault="00311B43" w:rsidP="00311B43"/>
    <w:p w14:paraId="49CA665F" w14:textId="2DA98DCE" w:rsidR="00E63EC2" w:rsidRDefault="00E63EC2" w:rsidP="0049362A">
      <w:pPr>
        <w:pStyle w:val="Heading2"/>
      </w:pPr>
      <w:bookmarkStart w:id="6" w:name="IFoAsupport"/>
      <w:bookmarkEnd w:id="6"/>
      <w:r>
        <w:t>IFoA support required</w:t>
      </w:r>
      <w:r w:rsidR="00FE3973">
        <w:t xml:space="preserve"> in Quarter 1, 2019</w:t>
      </w:r>
      <w:r>
        <w:t>:</w:t>
      </w:r>
    </w:p>
    <w:p w14:paraId="70CF1DF8" w14:textId="77777777" w:rsidR="00E63EC2" w:rsidRDefault="00E63EC2" w:rsidP="00DA2535"/>
    <w:p w14:paraId="61D2E204" w14:textId="2BDFA829" w:rsidR="00FE3973" w:rsidRDefault="00FE3973" w:rsidP="00FE3973">
      <w:r>
        <w:t xml:space="preserve">1- </w:t>
      </w:r>
      <w:r w:rsidRPr="00FE3973">
        <w:rPr>
          <w:u w:val="single"/>
        </w:rPr>
        <w:t>From the executive</w:t>
      </w:r>
      <w:r>
        <w:t xml:space="preserve">: direction for potential project across working parties, </w:t>
      </w:r>
    </w:p>
    <w:p w14:paraId="6A69054E" w14:textId="72358E90" w:rsidR="00FE3973" w:rsidRDefault="00FE3973" w:rsidP="00FE3973">
      <w:r>
        <w:t>support for CSWP’s engagement of relevant WPs.</w:t>
      </w:r>
    </w:p>
    <w:p w14:paraId="34D35E91" w14:textId="77777777" w:rsidR="00FE3973" w:rsidRDefault="00FE3973" w:rsidP="00FE3973"/>
    <w:p w14:paraId="5BE9377B" w14:textId="77777777" w:rsidR="00FE3973" w:rsidRDefault="00FE3973" w:rsidP="00FE3973">
      <w:r>
        <w:t xml:space="preserve">2- From the </w:t>
      </w:r>
      <w:r w:rsidRPr="00FE3973">
        <w:rPr>
          <w:u w:val="single"/>
        </w:rPr>
        <w:t>Web team</w:t>
      </w:r>
      <w:r>
        <w:t xml:space="preserve">: </w:t>
      </w:r>
    </w:p>
    <w:p w14:paraId="1A07E6E4" w14:textId="18142986" w:rsidR="0049362A" w:rsidRDefault="00955667" w:rsidP="00955667">
      <w:pPr>
        <w:pStyle w:val="ListParagraph"/>
        <w:numPr>
          <w:ilvl w:val="0"/>
          <w:numId w:val="10"/>
        </w:numPr>
      </w:pPr>
      <w:r>
        <w:t>T</w:t>
      </w:r>
      <w:r w:rsidR="00FE3973">
        <w:t xml:space="preserve">he </w:t>
      </w:r>
      <w:r>
        <w:t xml:space="preserve">IFoA </w:t>
      </w:r>
      <w:r w:rsidR="00FE3973">
        <w:t>site could be more user friendly for academics, if the default action on library items was changed from download</w:t>
      </w:r>
      <w:r>
        <w:t>ing</w:t>
      </w:r>
      <w:r w:rsidR="00FE3973">
        <w:t xml:space="preserve"> to opening in a new window. This would reduce the number of clicks required for visitors to read materials, and facilitate referencing into automated library databases, </w:t>
      </w:r>
      <w:proofErr w:type="spellStart"/>
      <w:r w:rsidR="00FE3973">
        <w:t>eg.</w:t>
      </w:r>
      <w:proofErr w:type="spellEnd"/>
      <w:r w:rsidR="00FE3973">
        <w:t xml:space="preserve"> Zotero, that acquires metadata from a plugin. </w:t>
      </w:r>
    </w:p>
    <w:p w14:paraId="5A9AA56C" w14:textId="77777777" w:rsidR="00955667" w:rsidRDefault="00955667" w:rsidP="00955667">
      <w:pPr>
        <w:pStyle w:val="ListParagraph"/>
      </w:pPr>
    </w:p>
    <w:p w14:paraId="4EBAE135" w14:textId="5DD6A8C4" w:rsidR="00955667" w:rsidRDefault="00955667" w:rsidP="00955667">
      <w:pPr>
        <w:pStyle w:val="ListParagraph"/>
        <w:numPr>
          <w:ilvl w:val="0"/>
          <w:numId w:val="10"/>
        </w:numPr>
      </w:pPr>
      <w:r>
        <w:t xml:space="preserve">Create a CSWP mailbox (preferred) or distribution list (second best) to members for external contacts to engage with </w:t>
      </w:r>
      <w:r w:rsidR="006D7FE8">
        <w:t xml:space="preserve">the </w:t>
      </w:r>
      <w:r>
        <w:t>WP.</w:t>
      </w:r>
    </w:p>
    <w:p w14:paraId="30BAFF38" w14:textId="77777777" w:rsidR="00955667" w:rsidRDefault="00955667" w:rsidP="00955667"/>
    <w:p w14:paraId="05ABBB8C" w14:textId="3461F1C5" w:rsidR="00955667" w:rsidRDefault="00955667" w:rsidP="00955667">
      <w:r>
        <w:t xml:space="preserve">3- </w:t>
      </w:r>
      <w:r w:rsidR="00B545C3">
        <w:t xml:space="preserve">From the </w:t>
      </w:r>
      <w:r w:rsidRPr="00955667">
        <w:rPr>
          <w:u w:val="single"/>
        </w:rPr>
        <w:t>Events team</w:t>
      </w:r>
      <w:r>
        <w:t>: Engagement for roundtable event.</w:t>
      </w:r>
    </w:p>
    <w:p w14:paraId="3A5643A9" w14:textId="77777777" w:rsidR="00955667" w:rsidRDefault="00955667" w:rsidP="00955667"/>
    <w:p w14:paraId="7FF89FC6" w14:textId="77777777" w:rsidR="00B545C3" w:rsidRDefault="00955667" w:rsidP="00955667">
      <w:r>
        <w:t xml:space="preserve">4- </w:t>
      </w:r>
      <w:r w:rsidR="00B545C3">
        <w:t xml:space="preserve">From the </w:t>
      </w:r>
      <w:r w:rsidRPr="00B545C3">
        <w:rPr>
          <w:u w:val="single"/>
        </w:rPr>
        <w:t>Media/ PR team</w:t>
      </w:r>
      <w:r>
        <w:t xml:space="preserve">: </w:t>
      </w:r>
    </w:p>
    <w:p w14:paraId="0F155906" w14:textId="77777777" w:rsidR="006D7FE8" w:rsidRDefault="00955667" w:rsidP="00B545C3">
      <w:pPr>
        <w:pStyle w:val="ListParagraph"/>
        <w:numPr>
          <w:ilvl w:val="0"/>
          <w:numId w:val="11"/>
        </w:numPr>
      </w:pPr>
      <w:proofErr w:type="spellStart"/>
      <w:r>
        <w:lastRenderedPageBreak/>
        <w:t>Finalise</w:t>
      </w:r>
      <w:proofErr w:type="spellEnd"/>
      <w:r>
        <w:t xml:space="preserve"> and publish a branded Point of View as a key communication tool to any of the target stakeholders.</w:t>
      </w:r>
      <w:r w:rsidR="00B545C3">
        <w:t xml:space="preserve"> </w:t>
      </w:r>
    </w:p>
    <w:p w14:paraId="79C90B14" w14:textId="4104EB49" w:rsidR="00955667" w:rsidRDefault="00B545C3" w:rsidP="00B545C3">
      <w:pPr>
        <w:pStyle w:val="ListParagraph"/>
        <w:numPr>
          <w:ilvl w:val="0"/>
          <w:numId w:val="11"/>
        </w:numPr>
      </w:pPr>
      <w:r>
        <w:t>Disseminate Point of View to CSWP cited media.</w:t>
      </w:r>
    </w:p>
    <w:p w14:paraId="4964A989" w14:textId="5E4B13B7" w:rsidR="00B545C3" w:rsidRDefault="00B545C3" w:rsidP="00B545C3">
      <w:pPr>
        <w:pStyle w:val="ListParagraph"/>
        <w:numPr>
          <w:ilvl w:val="0"/>
          <w:numId w:val="11"/>
        </w:numPr>
      </w:pPr>
      <w:r>
        <w:t>Provide 2019 publishing features list for IFoA target media. The WP will select features and feedback to media team for engagement.</w:t>
      </w:r>
    </w:p>
    <w:p w14:paraId="5F77C823" w14:textId="74979995" w:rsidR="00B545C3" w:rsidRDefault="00B545C3" w:rsidP="00B545C3">
      <w:pPr>
        <w:pStyle w:val="ListParagraph"/>
        <w:numPr>
          <w:ilvl w:val="0"/>
          <w:numId w:val="11"/>
        </w:numPr>
      </w:pPr>
      <w:r>
        <w:t>Provide 2019 publishing features list for CSWP target media. The CSWP will provide the target media list.</w:t>
      </w:r>
    </w:p>
    <w:p w14:paraId="5257279D" w14:textId="6097DEDC" w:rsidR="00B545C3" w:rsidRDefault="00B545C3" w:rsidP="00B545C3">
      <w:pPr>
        <w:pStyle w:val="ListParagraph"/>
        <w:numPr>
          <w:ilvl w:val="0"/>
          <w:numId w:val="11"/>
        </w:numPr>
      </w:pPr>
      <w:r>
        <w:t>Agree process for articles submission to media.</w:t>
      </w:r>
    </w:p>
    <w:p w14:paraId="15A1EDEE" w14:textId="77777777" w:rsidR="00955667" w:rsidRDefault="00955667" w:rsidP="00955667"/>
    <w:p w14:paraId="0384942F" w14:textId="77777777" w:rsidR="00955667" w:rsidRDefault="00955667" w:rsidP="00955667"/>
    <w:p w14:paraId="7189A35B" w14:textId="77777777" w:rsidR="00FE3973" w:rsidRDefault="00FE3973" w:rsidP="00DA2535"/>
    <w:p w14:paraId="484CCDD3" w14:textId="77777777" w:rsidR="00FE3973" w:rsidRDefault="00FE3973" w:rsidP="00DA2535"/>
    <w:p w14:paraId="4A608E09" w14:textId="74C626E5" w:rsidR="00311B43" w:rsidRDefault="00E63EC2" w:rsidP="00DA2535">
      <w:r>
        <w:t xml:space="preserve"> </w:t>
      </w:r>
    </w:p>
    <w:sectPr w:rsidR="00311B43" w:rsidSect="002557BE">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FBB1D7" w14:textId="77777777" w:rsidR="003365F1" w:rsidRDefault="003365F1" w:rsidP="00B24060">
      <w:r>
        <w:separator/>
      </w:r>
    </w:p>
  </w:endnote>
  <w:endnote w:type="continuationSeparator" w:id="0">
    <w:p w14:paraId="0FBD62F6" w14:textId="77777777" w:rsidR="003365F1" w:rsidRDefault="003365F1" w:rsidP="00B24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27114E" w14:textId="77777777" w:rsidR="003365F1" w:rsidRDefault="003365F1" w:rsidP="00B24060">
      <w:r>
        <w:separator/>
      </w:r>
    </w:p>
  </w:footnote>
  <w:footnote w:type="continuationSeparator" w:id="0">
    <w:p w14:paraId="7F9C6312" w14:textId="77777777" w:rsidR="003365F1" w:rsidRDefault="003365F1" w:rsidP="00B24060">
      <w:r>
        <w:continuationSeparator/>
      </w:r>
    </w:p>
  </w:footnote>
  <w:footnote w:id="1">
    <w:p w14:paraId="35428BBB" w14:textId="7A37F630" w:rsidR="00B24060" w:rsidRPr="00B24060" w:rsidRDefault="00B24060">
      <w:pPr>
        <w:pStyle w:val="FootnoteText"/>
        <w:rPr>
          <w:sz w:val="16"/>
          <w:szCs w:val="16"/>
        </w:rPr>
      </w:pPr>
      <w:r w:rsidRPr="00B24060">
        <w:rPr>
          <w:rStyle w:val="FootnoteReference"/>
          <w:sz w:val="16"/>
          <w:szCs w:val="16"/>
        </w:rPr>
        <w:footnoteRef/>
      </w:r>
      <w:r w:rsidRPr="00B24060">
        <w:rPr>
          <w:sz w:val="16"/>
          <w:szCs w:val="16"/>
        </w:rPr>
        <w:t xml:space="preserve"> Working Party website: </w:t>
      </w:r>
      <w:hyperlink r:id="rId1" w:history="1">
        <w:r w:rsidRPr="00B24060">
          <w:rPr>
            <w:rStyle w:val="Hyperlink"/>
            <w:sz w:val="16"/>
            <w:szCs w:val="16"/>
          </w:rPr>
          <w:t>https://www.actuaries.org.uk/practice-areas/finance-and-investment/finance-and-investment-research-working-parties/cashless-society-working-party</w:t>
        </w:r>
      </w:hyperlink>
      <w:r w:rsidRPr="00B24060">
        <w:rPr>
          <w:sz w:val="16"/>
          <w:szCs w:val="16"/>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E1C85"/>
    <w:multiLevelType w:val="hybridMultilevel"/>
    <w:tmpl w:val="F96090F4"/>
    <w:lvl w:ilvl="0" w:tplc="A55071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871C1D"/>
    <w:multiLevelType w:val="hybridMultilevel"/>
    <w:tmpl w:val="C5447D9C"/>
    <w:lvl w:ilvl="0" w:tplc="48BEEE40">
      <w:start w:val="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B529B5"/>
    <w:multiLevelType w:val="hybridMultilevel"/>
    <w:tmpl w:val="623633F6"/>
    <w:lvl w:ilvl="0" w:tplc="2DA0C1CC">
      <w:start w:val="2019"/>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9E321F"/>
    <w:multiLevelType w:val="hybridMultilevel"/>
    <w:tmpl w:val="E36AD810"/>
    <w:lvl w:ilvl="0" w:tplc="558AE020">
      <w:start w:val="2019"/>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3D6B44"/>
    <w:multiLevelType w:val="hybridMultilevel"/>
    <w:tmpl w:val="DF961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280D25"/>
    <w:multiLevelType w:val="hybridMultilevel"/>
    <w:tmpl w:val="07467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B919BB"/>
    <w:multiLevelType w:val="hybridMultilevel"/>
    <w:tmpl w:val="C270E25A"/>
    <w:lvl w:ilvl="0" w:tplc="5D0898A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D6311A"/>
    <w:multiLevelType w:val="hybridMultilevel"/>
    <w:tmpl w:val="2D2C71F4"/>
    <w:lvl w:ilvl="0" w:tplc="0F6C13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ED561B"/>
    <w:multiLevelType w:val="hybridMultilevel"/>
    <w:tmpl w:val="06680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8B3776"/>
    <w:multiLevelType w:val="hybridMultilevel"/>
    <w:tmpl w:val="EDA43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D27B3F"/>
    <w:multiLevelType w:val="hybridMultilevel"/>
    <w:tmpl w:val="1B84D630"/>
    <w:lvl w:ilvl="0" w:tplc="0C94EAE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9"/>
  </w:num>
  <w:num w:numId="5">
    <w:abstractNumId w:val="7"/>
  </w:num>
  <w:num w:numId="6">
    <w:abstractNumId w:val="8"/>
  </w:num>
  <w:num w:numId="7">
    <w:abstractNumId w:val="1"/>
  </w:num>
  <w:num w:numId="8">
    <w:abstractNumId w:val="4"/>
  </w:num>
  <w:num w:numId="9">
    <w:abstractNumId w:val="0"/>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58D"/>
    <w:rsid w:val="001641BA"/>
    <w:rsid w:val="00191023"/>
    <w:rsid w:val="001B5962"/>
    <w:rsid w:val="001E0D5D"/>
    <w:rsid w:val="00246D87"/>
    <w:rsid w:val="002557BE"/>
    <w:rsid w:val="002A2075"/>
    <w:rsid w:val="002D5B50"/>
    <w:rsid w:val="00311B43"/>
    <w:rsid w:val="003365F1"/>
    <w:rsid w:val="003A3003"/>
    <w:rsid w:val="00447417"/>
    <w:rsid w:val="0048658D"/>
    <w:rsid w:val="0049362A"/>
    <w:rsid w:val="004B08A0"/>
    <w:rsid w:val="00542D5B"/>
    <w:rsid w:val="005C5A10"/>
    <w:rsid w:val="00696548"/>
    <w:rsid w:val="006D7FE8"/>
    <w:rsid w:val="0076508E"/>
    <w:rsid w:val="007A384B"/>
    <w:rsid w:val="0086318B"/>
    <w:rsid w:val="00881C9A"/>
    <w:rsid w:val="008B5BD8"/>
    <w:rsid w:val="008D7EB7"/>
    <w:rsid w:val="00955667"/>
    <w:rsid w:val="0097240A"/>
    <w:rsid w:val="009B4D07"/>
    <w:rsid w:val="00A004B8"/>
    <w:rsid w:val="00B24060"/>
    <w:rsid w:val="00B545C3"/>
    <w:rsid w:val="00C30E21"/>
    <w:rsid w:val="00C3798D"/>
    <w:rsid w:val="00CB0B4E"/>
    <w:rsid w:val="00D1612A"/>
    <w:rsid w:val="00DA2535"/>
    <w:rsid w:val="00E63EC2"/>
    <w:rsid w:val="00F719B0"/>
    <w:rsid w:val="00FE39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1F2A5B"/>
  <w14:defaultImageDpi w14:val="300"/>
  <w15:docId w15:val="{C5C0D4C3-6D8B-4B4E-BE85-C492381EA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DA253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97240A"/>
    <w:rPr>
      <w:rFonts w:ascii="Cambria" w:eastAsia="Cambria" w:hAnsi="Cambria" w:cs="Cambria"/>
    </w:rPr>
  </w:style>
  <w:style w:type="paragraph" w:styleId="ListParagraph">
    <w:name w:val="List Paragraph"/>
    <w:basedOn w:val="Normal"/>
    <w:uiPriority w:val="34"/>
    <w:qFormat/>
    <w:rsid w:val="0097240A"/>
    <w:pPr>
      <w:ind w:left="720"/>
      <w:contextualSpacing/>
    </w:pPr>
  </w:style>
  <w:style w:type="character" w:customStyle="1" w:styleId="Heading2Char">
    <w:name w:val="Heading 2 Char"/>
    <w:basedOn w:val="DefaultParagraphFont"/>
    <w:link w:val="Heading2"/>
    <w:uiPriority w:val="9"/>
    <w:rsid w:val="00DA2535"/>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1641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6508E"/>
    <w:rPr>
      <w:color w:val="0000FF" w:themeColor="hyperlink"/>
      <w:u w:val="single"/>
    </w:rPr>
  </w:style>
  <w:style w:type="paragraph" w:styleId="FootnoteText">
    <w:name w:val="footnote text"/>
    <w:basedOn w:val="Normal"/>
    <w:link w:val="FootnoteTextChar"/>
    <w:uiPriority w:val="99"/>
    <w:unhideWhenUsed/>
    <w:rsid w:val="00B24060"/>
  </w:style>
  <w:style w:type="character" w:customStyle="1" w:styleId="FootnoteTextChar">
    <w:name w:val="Footnote Text Char"/>
    <w:basedOn w:val="DefaultParagraphFont"/>
    <w:link w:val="FootnoteText"/>
    <w:uiPriority w:val="99"/>
    <w:rsid w:val="00B24060"/>
  </w:style>
  <w:style w:type="character" w:styleId="FootnoteReference">
    <w:name w:val="footnote reference"/>
    <w:basedOn w:val="DefaultParagraphFont"/>
    <w:uiPriority w:val="99"/>
    <w:unhideWhenUsed/>
    <w:rsid w:val="00B2406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148332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www.actuaries.org.uk/practice-areas/finance-and-investment/finance-and-investment-research-working-parties/cashless-society-working-par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881</Words>
  <Characters>5025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5895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 Rochemont</dc:creator>
  <cp:keywords/>
  <dc:description/>
  <cp:lastModifiedBy>Ian Collier</cp:lastModifiedBy>
  <cp:revision>2</cp:revision>
  <dcterms:created xsi:type="dcterms:W3CDTF">2019-01-04T11:41:00Z</dcterms:created>
  <dcterms:modified xsi:type="dcterms:W3CDTF">2019-01-04T11:41:00Z</dcterms:modified>
  <cp:category/>
</cp:coreProperties>
</file>