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page" w:horzAnchor="margin" w:tblpY="3320"/>
        <w:tblW w:w="9277" w:type="dxa"/>
        <w:tblLook w:val="04A0" w:firstRow="1" w:lastRow="0" w:firstColumn="1" w:lastColumn="0" w:noHBand="0" w:noVBand="1"/>
      </w:tblPr>
      <w:tblGrid>
        <w:gridCol w:w="5211"/>
        <w:gridCol w:w="4066"/>
      </w:tblGrid>
      <w:tr w:rsidR="009038E1" w14:paraId="74F13529" w14:textId="77777777" w:rsidTr="009038E1">
        <w:trPr>
          <w:trHeight w:val="7660"/>
        </w:trPr>
        <w:tc>
          <w:tcPr>
            <w:tcW w:w="9277" w:type="dxa"/>
            <w:gridSpan w:val="2"/>
            <w:tcBorders>
              <w:top w:val="nil"/>
              <w:left w:val="nil"/>
              <w:bottom w:val="nil"/>
              <w:right w:val="nil"/>
            </w:tcBorders>
          </w:tcPr>
          <w:p w14:paraId="69814876" w14:textId="77777777" w:rsidR="009038E1" w:rsidRPr="008A3F41" w:rsidRDefault="000129E5" w:rsidP="00361531">
            <w:pPr>
              <w:rPr>
                <w:rFonts w:ascii="Arial" w:hAnsi="Arial" w:cs="Arial"/>
                <w:b/>
                <w:color w:val="113458"/>
                <w:sz w:val="68"/>
                <w:szCs w:val="68"/>
              </w:rPr>
            </w:pPr>
            <w:r>
              <w:rPr>
                <w:rFonts w:ascii="Arial" w:hAnsi="Arial" w:cs="Arial"/>
                <w:b/>
                <w:color w:val="113458"/>
                <w:sz w:val="68"/>
                <w:szCs w:val="68"/>
              </w:rPr>
              <w:t>Value of with-profits to consumers</w:t>
            </w:r>
          </w:p>
          <w:p w14:paraId="1FC5C1B8" w14:textId="77777777" w:rsidR="009038E1" w:rsidRPr="008A3F41" w:rsidRDefault="000129E5" w:rsidP="00361531">
            <w:pPr>
              <w:spacing w:before="120"/>
              <w:rPr>
                <w:rFonts w:ascii="Arial" w:hAnsi="Arial" w:cs="Arial"/>
                <w:color w:val="D9AB16"/>
                <w:sz w:val="44"/>
                <w:szCs w:val="44"/>
              </w:rPr>
            </w:pPr>
            <w:r>
              <w:rPr>
                <w:rFonts w:ascii="Arial" w:hAnsi="Arial" w:cs="Arial"/>
                <w:color w:val="D9AB16"/>
                <w:sz w:val="44"/>
                <w:szCs w:val="44"/>
              </w:rPr>
              <w:t>Phase 1 report</w:t>
            </w:r>
          </w:p>
          <w:p w14:paraId="00A56413" w14:textId="77777777" w:rsidR="009038E1" w:rsidRPr="008A3F41" w:rsidRDefault="009038E1" w:rsidP="00361531">
            <w:pPr>
              <w:rPr>
                <w:rFonts w:ascii="Arial" w:hAnsi="Arial" w:cs="Arial"/>
                <w:color w:val="113458"/>
                <w:sz w:val="44"/>
                <w:szCs w:val="44"/>
              </w:rPr>
            </w:pPr>
          </w:p>
          <w:p w14:paraId="63FCD12A" w14:textId="77777777" w:rsidR="009038E1" w:rsidRPr="0019646A" w:rsidRDefault="009038E1" w:rsidP="00AE745A">
            <w:pPr>
              <w:spacing w:before="120"/>
              <w:rPr>
                <w:rFonts w:ascii="Arial" w:hAnsi="Arial" w:cs="Arial"/>
                <w:sz w:val="36"/>
                <w:szCs w:val="36"/>
              </w:rPr>
            </w:pPr>
            <w:r w:rsidRPr="008A3F41">
              <w:rPr>
                <w:rFonts w:ascii="Arial" w:hAnsi="Arial" w:cs="Arial"/>
                <w:color w:val="113458"/>
                <w:sz w:val="36"/>
                <w:szCs w:val="36"/>
              </w:rPr>
              <w:t xml:space="preserve">by </w:t>
            </w:r>
            <w:r w:rsidR="0091708F" w:rsidRPr="0091708F">
              <w:rPr>
                <w:rFonts w:ascii="Arial" w:hAnsi="Arial" w:cs="Arial"/>
                <w:color w:val="113458"/>
                <w:sz w:val="36"/>
                <w:szCs w:val="36"/>
              </w:rPr>
              <w:t xml:space="preserve"> T. Bateman*, J. Welsh, A. Fraser, R. Macdonald, </w:t>
            </w:r>
            <w:r w:rsidR="00AE745A">
              <w:rPr>
                <w:rFonts w:ascii="Arial" w:hAnsi="Arial" w:cs="Arial"/>
                <w:color w:val="113458"/>
                <w:sz w:val="36"/>
                <w:szCs w:val="36"/>
              </w:rPr>
              <w:t xml:space="preserve"> Kris Overlunde,</w:t>
            </w:r>
            <w:r w:rsidR="00AE745A" w:rsidRPr="0091708F">
              <w:rPr>
                <w:rFonts w:ascii="Arial" w:hAnsi="Arial" w:cs="Arial"/>
                <w:color w:val="113458"/>
                <w:sz w:val="36"/>
                <w:szCs w:val="36"/>
              </w:rPr>
              <w:t xml:space="preserve"> </w:t>
            </w:r>
            <w:r w:rsidR="0091708F" w:rsidRPr="0091708F">
              <w:rPr>
                <w:rFonts w:ascii="Arial" w:hAnsi="Arial" w:cs="Arial"/>
                <w:color w:val="113458"/>
                <w:sz w:val="36"/>
                <w:szCs w:val="36"/>
              </w:rPr>
              <w:t>R. Rossouw, B. Stroud, R. Thompson</w:t>
            </w:r>
            <w:r w:rsidR="00AE745A">
              <w:rPr>
                <w:rFonts w:ascii="Arial" w:hAnsi="Arial" w:cs="Arial"/>
                <w:color w:val="113458"/>
                <w:sz w:val="36"/>
                <w:szCs w:val="36"/>
              </w:rPr>
              <w:t>, Catherine Thorn, Catherine Zhang</w:t>
            </w:r>
          </w:p>
        </w:tc>
      </w:tr>
      <w:tr w:rsidR="0019646A" w14:paraId="3990989F" w14:textId="77777777" w:rsidTr="0019646A">
        <w:trPr>
          <w:trHeight w:val="3102"/>
        </w:trPr>
        <w:tc>
          <w:tcPr>
            <w:tcW w:w="9277" w:type="dxa"/>
            <w:gridSpan w:val="2"/>
            <w:tcBorders>
              <w:top w:val="nil"/>
              <w:left w:val="nil"/>
              <w:bottom w:val="nil"/>
              <w:right w:val="nil"/>
            </w:tcBorders>
            <w:vAlign w:val="center"/>
          </w:tcPr>
          <w:p w14:paraId="649169B1" w14:textId="77777777" w:rsidR="0019646A" w:rsidRPr="008A3F41" w:rsidRDefault="0091708F" w:rsidP="0091708F">
            <w:pPr>
              <w:rPr>
                <w:color w:val="113458"/>
                <w:sz w:val="56"/>
                <w:szCs w:val="56"/>
              </w:rPr>
            </w:pPr>
            <w:r>
              <w:rPr>
                <w:color w:val="113458"/>
                <w:sz w:val="56"/>
                <w:szCs w:val="56"/>
              </w:rPr>
              <w:t>With-profits environment and e</w:t>
            </w:r>
            <w:r w:rsidR="000129E5">
              <w:rPr>
                <w:color w:val="113458"/>
                <w:sz w:val="56"/>
                <w:szCs w:val="56"/>
              </w:rPr>
              <w:t>xisting research from a consumer perspective</w:t>
            </w:r>
          </w:p>
        </w:tc>
      </w:tr>
      <w:tr w:rsidR="00361531" w14:paraId="16C018E7" w14:textId="77777777" w:rsidTr="0019646A">
        <w:trPr>
          <w:trHeight w:val="1653"/>
        </w:trPr>
        <w:tc>
          <w:tcPr>
            <w:tcW w:w="5211" w:type="dxa"/>
            <w:tcBorders>
              <w:top w:val="nil"/>
              <w:left w:val="nil"/>
              <w:bottom w:val="nil"/>
              <w:right w:val="nil"/>
            </w:tcBorders>
            <w:vAlign w:val="bottom"/>
          </w:tcPr>
          <w:p w14:paraId="7B3BE61F" w14:textId="77777777" w:rsidR="00361531" w:rsidRPr="005D602D" w:rsidRDefault="005D602D" w:rsidP="00361531">
            <w:pPr>
              <w:rPr>
                <w:color w:val="113458"/>
                <w:sz w:val="20"/>
                <w:szCs w:val="20"/>
              </w:rPr>
            </w:pPr>
            <w:r w:rsidRPr="005D602D">
              <w:rPr>
                <w:rFonts w:ascii="Arial" w:hAnsi="Arial" w:cs="Arial"/>
                <w:color w:val="113458"/>
                <w:sz w:val="20"/>
                <w:szCs w:val="20"/>
              </w:rPr>
              <w:t>Presented to the Institute &amp; Faculty of Actuaries</w:t>
            </w:r>
          </w:p>
        </w:tc>
        <w:tc>
          <w:tcPr>
            <w:tcW w:w="4066" w:type="dxa"/>
            <w:tcBorders>
              <w:top w:val="nil"/>
              <w:left w:val="nil"/>
              <w:bottom w:val="nil"/>
              <w:right w:val="nil"/>
            </w:tcBorders>
            <w:vAlign w:val="bottom"/>
          </w:tcPr>
          <w:p w14:paraId="43F835B6" w14:textId="5FB57E4C" w:rsidR="004E558C" w:rsidRDefault="00DD7661" w:rsidP="000129E5">
            <w:pPr>
              <w:jc w:val="right"/>
              <w:rPr>
                <w:rFonts w:ascii="Arial" w:hAnsi="Arial" w:cs="Arial"/>
                <w:color w:val="113458"/>
                <w:sz w:val="36"/>
                <w:szCs w:val="36"/>
              </w:rPr>
            </w:pPr>
            <w:r>
              <w:rPr>
                <w:rFonts w:ascii="Arial" w:hAnsi="Arial" w:cs="Arial"/>
                <w:color w:val="113458"/>
                <w:sz w:val="36"/>
                <w:szCs w:val="36"/>
              </w:rPr>
              <w:t>April</w:t>
            </w:r>
            <w:r w:rsidR="000129E5">
              <w:rPr>
                <w:rFonts w:ascii="Arial" w:hAnsi="Arial" w:cs="Arial"/>
                <w:color w:val="113458"/>
                <w:sz w:val="36"/>
                <w:szCs w:val="36"/>
              </w:rPr>
              <w:t xml:space="preserve"> 2018</w:t>
            </w:r>
          </w:p>
          <w:p w14:paraId="24316A19" w14:textId="50BB24B7" w:rsidR="000129E5" w:rsidRPr="008A3F41" w:rsidRDefault="000129E5" w:rsidP="000129E5">
            <w:pPr>
              <w:jc w:val="right"/>
              <w:rPr>
                <w:rFonts w:ascii="Arial" w:hAnsi="Arial" w:cs="Arial"/>
                <w:color w:val="113458"/>
                <w:sz w:val="36"/>
                <w:szCs w:val="36"/>
              </w:rPr>
            </w:pPr>
          </w:p>
        </w:tc>
      </w:tr>
    </w:tbl>
    <w:p w14:paraId="628804E5" w14:textId="77777777" w:rsidR="00D0143C" w:rsidRDefault="00D0143C"/>
    <w:p w14:paraId="1730C120" w14:textId="77777777" w:rsidR="00D0143C" w:rsidRDefault="00D0143C">
      <w:r>
        <w:br w:type="page"/>
      </w:r>
    </w:p>
    <w:p w14:paraId="446DACBC" w14:textId="77777777" w:rsidR="00280198" w:rsidRPr="001E6083" w:rsidRDefault="00280198" w:rsidP="00280198">
      <w:pPr>
        <w:pStyle w:val="PlainText"/>
        <w:rPr>
          <w:rFonts w:ascii="Arial" w:hAnsi="Arial" w:cs="Arial"/>
          <w:sz w:val="20"/>
          <w:szCs w:val="20"/>
        </w:rPr>
      </w:pPr>
      <w:r w:rsidRPr="00280198">
        <w:rPr>
          <w:rFonts w:ascii="Arial" w:hAnsi="Arial" w:cs="Arial"/>
          <w:b/>
          <w:color w:val="FFC000"/>
          <w:sz w:val="20"/>
          <w:szCs w:val="20"/>
        </w:rPr>
        <w:lastRenderedPageBreak/>
        <w:t>Disclaimer:</w:t>
      </w:r>
      <w:r w:rsidRPr="00280198">
        <w:rPr>
          <w:rFonts w:ascii="Arial" w:hAnsi="Arial" w:cs="Arial"/>
          <w:color w:val="FFC000"/>
          <w:sz w:val="20"/>
          <w:szCs w:val="20"/>
        </w:rPr>
        <w:t xml:space="preserve"> </w:t>
      </w:r>
      <w:r w:rsidRPr="00AF5801">
        <w:rPr>
          <w:rFonts w:ascii="Arial" w:hAnsi="Arial" w:cs="Arial"/>
          <w:sz w:val="20"/>
          <w:szCs w:val="20"/>
        </w:rPr>
        <w:t xml:space="preserve">The views expressed in this </w:t>
      </w:r>
      <w:r w:rsidRPr="00CF102E">
        <w:rPr>
          <w:rFonts w:ascii="Arial" w:hAnsi="Arial" w:cs="Arial"/>
          <w:sz w:val="20"/>
          <w:szCs w:val="20"/>
        </w:rPr>
        <w:t>publication are</w:t>
      </w:r>
      <w:r w:rsidRPr="00AF5801">
        <w:rPr>
          <w:rFonts w:ascii="Arial" w:hAnsi="Arial" w:cs="Arial"/>
          <w:sz w:val="20"/>
          <w:szCs w:val="20"/>
        </w:rPr>
        <w:t xml:space="preserve"> those of invited contributors and not necessarily those of the Institute and Faculty of Actuaries. The Institute and Faculty of Actuaries do not endorse any of the views stated, nor any claims or representations made in this</w:t>
      </w:r>
      <w:r w:rsidRPr="001E6083">
        <w:rPr>
          <w:rFonts w:ascii="Arial" w:hAnsi="Arial" w:cs="Arial"/>
          <w:sz w:val="20"/>
          <w:szCs w:val="20"/>
        </w:rPr>
        <w:t xml:space="preserve"> publication and</w:t>
      </w:r>
      <w:r>
        <w:rPr>
          <w:rFonts w:ascii="Arial" w:hAnsi="Arial" w:cs="Arial"/>
          <w:sz w:val="20"/>
          <w:szCs w:val="20"/>
        </w:rPr>
        <w:t xml:space="preserve"> </w:t>
      </w:r>
      <w:r w:rsidRPr="001E6083">
        <w:rPr>
          <w:rFonts w:ascii="Arial" w:hAnsi="Arial" w:cs="Arial"/>
          <w:sz w:val="20"/>
          <w:szCs w:val="20"/>
        </w:rPr>
        <w:t>accept no responsibility or liability to any person for loss or damage suffered as a consequence of</w:t>
      </w:r>
      <w:r>
        <w:rPr>
          <w:rFonts w:ascii="Arial" w:hAnsi="Arial" w:cs="Arial"/>
          <w:sz w:val="20"/>
          <w:szCs w:val="20"/>
        </w:rPr>
        <w:t xml:space="preserve"> </w:t>
      </w:r>
      <w:r w:rsidRPr="001E6083">
        <w:rPr>
          <w:rFonts w:ascii="Arial" w:hAnsi="Arial" w:cs="Arial"/>
          <w:sz w:val="20"/>
          <w:szCs w:val="20"/>
        </w:rPr>
        <w:t>their placing reliance upon any view, claim or representation made in this publication. The</w:t>
      </w:r>
      <w:r>
        <w:rPr>
          <w:rFonts w:ascii="Arial" w:hAnsi="Arial" w:cs="Arial"/>
          <w:sz w:val="20"/>
          <w:szCs w:val="20"/>
        </w:rPr>
        <w:t xml:space="preserve"> </w:t>
      </w:r>
      <w:r w:rsidRPr="001E6083">
        <w:rPr>
          <w:rFonts w:ascii="Arial" w:hAnsi="Arial" w:cs="Arial"/>
          <w:sz w:val="20"/>
          <w:szCs w:val="20"/>
        </w:rPr>
        <w:t>information and expressions of opinion contained in this publication are not intended to be a</w:t>
      </w:r>
      <w:r>
        <w:rPr>
          <w:rFonts w:ascii="Arial" w:hAnsi="Arial" w:cs="Arial"/>
          <w:sz w:val="20"/>
          <w:szCs w:val="20"/>
        </w:rPr>
        <w:t xml:space="preserve"> </w:t>
      </w:r>
      <w:r w:rsidRPr="001E6083">
        <w:rPr>
          <w:rFonts w:ascii="Arial" w:hAnsi="Arial" w:cs="Arial"/>
          <w:sz w:val="20"/>
          <w:szCs w:val="20"/>
        </w:rPr>
        <w:t>comprehensive study, nor to provide actuarial advice or advice of any nature and should not be</w:t>
      </w:r>
      <w:r>
        <w:rPr>
          <w:rFonts w:ascii="Arial" w:hAnsi="Arial" w:cs="Arial"/>
          <w:sz w:val="20"/>
          <w:szCs w:val="20"/>
        </w:rPr>
        <w:t xml:space="preserve"> </w:t>
      </w:r>
      <w:r w:rsidRPr="001E6083">
        <w:rPr>
          <w:rFonts w:ascii="Arial" w:hAnsi="Arial" w:cs="Arial"/>
          <w:sz w:val="20"/>
          <w:szCs w:val="20"/>
        </w:rPr>
        <w:t>treated as a substitute for specific advice concerning individual situations. On no account may any</w:t>
      </w:r>
      <w:r>
        <w:rPr>
          <w:rFonts w:ascii="Arial" w:hAnsi="Arial" w:cs="Arial"/>
          <w:sz w:val="20"/>
          <w:szCs w:val="20"/>
        </w:rPr>
        <w:t xml:space="preserve"> </w:t>
      </w:r>
      <w:r w:rsidRPr="001E6083">
        <w:rPr>
          <w:rFonts w:ascii="Arial" w:hAnsi="Arial" w:cs="Arial"/>
          <w:sz w:val="20"/>
          <w:szCs w:val="20"/>
        </w:rPr>
        <w:t xml:space="preserve">part </w:t>
      </w:r>
      <w:r w:rsidRPr="00CF102E">
        <w:rPr>
          <w:rFonts w:ascii="Arial" w:hAnsi="Arial" w:cs="Arial"/>
          <w:sz w:val="20"/>
          <w:szCs w:val="20"/>
        </w:rPr>
        <w:t>of this publication</w:t>
      </w:r>
      <w:r w:rsidRPr="001E6083">
        <w:rPr>
          <w:rFonts w:ascii="Arial" w:hAnsi="Arial" w:cs="Arial"/>
          <w:sz w:val="20"/>
          <w:szCs w:val="20"/>
        </w:rPr>
        <w:t xml:space="preserve"> be reproduced without the written permission of the Institute and Faculty of</w:t>
      </w:r>
      <w:r>
        <w:rPr>
          <w:rFonts w:ascii="Arial" w:hAnsi="Arial" w:cs="Arial"/>
          <w:sz w:val="20"/>
          <w:szCs w:val="20"/>
        </w:rPr>
        <w:t xml:space="preserve"> Actuaries</w:t>
      </w:r>
      <w:r w:rsidR="00CF102E">
        <w:rPr>
          <w:rFonts w:ascii="Arial" w:hAnsi="Arial" w:cs="Arial"/>
          <w:sz w:val="20"/>
          <w:szCs w:val="20"/>
        </w:rPr>
        <w:t>.</w:t>
      </w:r>
    </w:p>
    <w:p w14:paraId="3E888668" w14:textId="77777777" w:rsidR="00784187" w:rsidRDefault="00784187">
      <w:pPr>
        <w:rPr>
          <w:rFonts w:cs="Arial"/>
          <w:u w:val="single"/>
        </w:rPr>
      </w:pPr>
      <w:r>
        <w:rPr>
          <w:rFonts w:cs="Arial"/>
          <w:u w:val="single"/>
        </w:rPr>
        <w:br w:type="page"/>
      </w:r>
    </w:p>
    <w:p w14:paraId="16992305" w14:textId="77777777" w:rsidR="00797372" w:rsidRPr="00893B5C" w:rsidRDefault="00797372" w:rsidP="00797372">
      <w:pPr>
        <w:rPr>
          <w:rFonts w:ascii="Arial" w:hAnsi="Arial" w:cs="Arial"/>
          <w:sz w:val="20"/>
          <w:szCs w:val="20"/>
        </w:rPr>
      </w:pPr>
      <w:r w:rsidRPr="00893B5C">
        <w:rPr>
          <w:rFonts w:ascii="Arial" w:hAnsi="Arial" w:cs="Arial"/>
          <w:b/>
          <w:sz w:val="20"/>
          <w:szCs w:val="20"/>
        </w:rPr>
        <w:lastRenderedPageBreak/>
        <w:t>Title</w:t>
      </w:r>
    </w:p>
    <w:sdt>
      <w:sdtPr>
        <w:rPr>
          <w:rFonts w:ascii="Arial" w:hAnsi="Arial" w:cs="Arial"/>
          <w:sz w:val="20"/>
          <w:szCs w:val="20"/>
        </w:rPr>
        <w:id w:val="-218816677"/>
        <w:placeholder>
          <w:docPart w:val="04220529A26A4C98B9158451A7B005C3"/>
        </w:placeholder>
      </w:sdtPr>
      <w:sdtContent>
        <w:p w14:paraId="0BE12520" w14:textId="77777777" w:rsidR="00797372" w:rsidRPr="00893B5C" w:rsidRDefault="004A1E62" w:rsidP="00797372">
          <w:pPr>
            <w:rPr>
              <w:rFonts w:ascii="Arial" w:hAnsi="Arial" w:cs="Arial"/>
              <w:sz w:val="20"/>
              <w:szCs w:val="20"/>
            </w:rPr>
          </w:pPr>
          <w:sdt>
            <w:sdtPr>
              <w:rPr>
                <w:rFonts w:ascii="Arial" w:hAnsi="Arial" w:cs="Arial"/>
                <w:sz w:val="20"/>
                <w:szCs w:val="20"/>
              </w:rPr>
              <w:id w:val="1067928252"/>
              <w:placeholder>
                <w:docPart w:val="04220529A26A4C98B9158451A7B005C3"/>
              </w:placeholder>
            </w:sdtPr>
            <w:sdtContent>
              <w:sdt>
                <w:sdtPr>
                  <w:rPr>
                    <w:rFonts w:ascii="Arial" w:hAnsi="Arial" w:cs="Arial"/>
                    <w:sz w:val="20"/>
                    <w:szCs w:val="20"/>
                  </w:rPr>
                  <w:id w:val="1404488714"/>
                  <w:placeholder>
                    <w:docPart w:val="04220529A26A4C98B9158451A7B005C3"/>
                  </w:placeholder>
                </w:sdtPr>
                <w:sdtContent>
                  <w:sdt>
                    <w:sdtPr>
                      <w:rPr>
                        <w:rFonts w:ascii="Arial" w:hAnsi="Arial" w:cs="Arial"/>
                        <w:sz w:val="20"/>
                        <w:szCs w:val="20"/>
                      </w:rPr>
                      <w:id w:val="181095866"/>
                      <w:placeholder>
                        <w:docPart w:val="04220529A26A4C98B9158451A7B005C3"/>
                      </w:placeholder>
                    </w:sdtPr>
                    <w:sdtContent>
                      <w:r w:rsidR="005E76BB">
                        <w:rPr>
                          <w:rFonts w:ascii="Arial" w:hAnsi="Arial" w:cs="Arial"/>
                          <w:sz w:val="20"/>
                          <w:szCs w:val="20"/>
                        </w:rPr>
                        <w:t>Value of with-profits to consumers</w:t>
                      </w:r>
                      <w:r w:rsidR="005558E4">
                        <w:rPr>
                          <w:rFonts w:ascii="Arial" w:hAnsi="Arial" w:cs="Arial"/>
                          <w:sz w:val="20"/>
                          <w:szCs w:val="20"/>
                        </w:rPr>
                        <w:t xml:space="preserve">: </w:t>
                      </w:r>
                      <w:r w:rsidR="005E76BB">
                        <w:rPr>
                          <w:rFonts w:ascii="Arial" w:hAnsi="Arial" w:cs="Arial"/>
                          <w:sz w:val="20"/>
                          <w:szCs w:val="20"/>
                        </w:rPr>
                        <w:t>Phase 1 re</w:t>
                      </w:r>
                      <w:r w:rsidR="005558E4">
                        <w:rPr>
                          <w:rFonts w:ascii="Arial" w:hAnsi="Arial" w:cs="Arial"/>
                          <w:sz w:val="20"/>
                          <w:szCs w:val="20"/>
                        </w:rPr>
                        <w:t>port</w:t>
                      </w:r>
                      <w:r w:rsidR="00536E8C">
                        <w:rPr>
                          <w:rFonts w:ascii="Arial" w:hAnsi="Arial" w:cs="Arial"/>
                          <w:sz w:val="20"/>
                          <w:szCs w:val="20"/>
                        </w:rPr>
                        <w:t xml:space="preserve"> </w:t>
                      </w:r>
                    </w:sdtContent>
                  </w:sdt>
                </w:sdtContent>
              </w:sdt>
            </w:sdtContent>
          </w:sdt>
        </w:p>
      </w:sdtContent>
    </w:sdt>
    <w:p w14:paraId="5759F9D7" w14:textId="77777777" w:rsidR="00797372" w:rsidRPr="00893B5C" w:rsidRDefault="00797372" w:rsidP="00797372">
      <w:pPr>
        <w:rPr>
          <w:rFonts w:ascii="Arial" w:hAnsi="Arial" w:cs="Arial"/>
          <w:b/>
          <w:sz w:val="20"/>
          <w:szCs w:val="20"/>
        </w:rPr>
      </w:pPr>
      <w:r w:rsidRPr="00893B5C">
        <w:rPr>
          <w:rFonts w:ascii="Arial" w:hAnsi="Arial" w:cs="Arial"/>
          <w:b/>
          <w:sz w:val="20"/>
          <w:szCs w:val="20"/>
        </w:rPr>
        <w:t>Author/Authors</w:t>
      </w:r>
    </w:p>
    <w:p w14:paraId="31D2964E" w14:textId="77777777" w:rsidR="00797372" w:rsidRPr="00893B5C" w:rsidRDefault="004A1E62" w:rsidP="00797372">
      <w:pPr>
        <w:rPr>
          <w:rFonts w:ascii="Arial" w:hAnsi="Arial" w:cs="Arial"/>
          <w:sz w:val="20"/>
          <w:szCs w:val="20"/>
        </w:rPr>
      </w:pPr>
      <w:sdt>
        <w:sdtPr>
          <w:rPr>
            <w:rFonts w:ascii="Arial" w:eastAsia="Times New Roman" w:hAnsi="Arial" w:cs="Arial"/>
            <w:sz w:val="20"/>
            <w:szCs w:val="20"/>
          </w:rPr>
          <w:id w:val="675849786"/>
          <w:placeholder>
            <w:docPart w:val="2FABFCEE81884429AAED73B2AB12ED5F"/>
          </w:placeholder>
          <w:text/>
        </w:sdtPr>
        <w:sdtContent>
          <w:r w:rsidR="00AE745A">
            <w:rPr>
              <w:rFonts w:ascii="Arial" w:eastAsia="Times New Roman" w:hAnsi="Arial" w:cs="Arial"/>
              <w:sz w:val="20"/>
              <w:szCs w:val="20"/>
            </w:rPr>
            <w:t xml:space="preserve">T. Bateman*, J. Welsh, A. Fraser, K. Overlunde, R. Macdonald, R. Rossouw, B. Stroud, R. Thompson, C. Thorn,   C. Zhang </w:t>
          </w:r>
        </w:sdtContent>
      </w:sdt>
    </w:p>
    <w:p w14:paraId="76DD0912" w14:textId="77777777" w:rsidR="00F12023" w:rsidRPr="00893B5C" w:rsidRDefault="00F12023" w:rsidP="00797372">
      <w:pPr>
        <w:rPr>
          <w:rFonts w:ascii="Arial" w:hAnsi="Arial" w:cs="Arial"/>
          <w:sz w:val="20"/>
          <w:szCs w:val="20"/>
        </w:rPr>
      </w:pPr>
    </w:p>
    <w:p w14:paraId="71A0B306" w14:textId="77777777" w:rsidR="00797372" w:rsidRPr="00893B5C" w:rsidRDefault="00797372" w:rsidP="00797372">
      <w:pPr>
        <w:rPr>
          <w:rFonts w:ascii="Arial" w:hAnsi="Arial" w:cs="Arial"/>
          <w:b/>
          <w:sz w:val="20"/>
          <w:szCs w:val="20"/>
        </w:rPr>
      </w:pPr>
      <w:r w:rsidRPr="00893B5C">
        <w:rPr>
          <w:rFonts w:ascii="Arial" w:hAnsi="Arial" w:cs="Arial"/>
          <w:b/>
          <w:sz w:val="20"/>
          <w:szCs w:val="20"/>
        </w:rPr>
        <w:t>Keywords</w:t>
      </w:r>
    </w:p>
    <w:sdt>
      <w:sdtPr>
        <w:rPr>
          <w:rFonts w:ascii="Arial" w:hAnsi="Arial" w:cs="Arial"/>
          <w:sz w:val="20"/>
          <w:szCs w:val="20"/>
        </w:rPr>
        <w:id w:val="-1813241671"/>
        <w:placeholder>
          <w:docPart w:val="04220529A26A4C98B9158451A7B005C3"/>
        </w:placeholder>
      </w:sdtPr>
      <w:sdtContent>
        <w:p w14:paraId="3D00E01F" w14:textId="77777777" w:rsidR="00536E8C" w:rsidRDefault="005E76BB" w:rsidP="00536E8C">
          <w:pPr>
            <w:spacing w:after="120"/>
            <w:jc w:val="both"/>
            <w:rPr>
              <w:rFonts w:ascii="Arial" w:hAnsi="Arial" w:cs="Arial"/>
              <w:sz w:val="20"/>
              <w:szCs w:val="20"/>
            </w:rPr>
          </w:pPr>
          <w:r>
            <w:rPr>
              <w:rFonts w:ascii="Arial" w:hAnsi="Arial" w:cs="Arial"/>
              <w:sz w:val="20"/>
              <w:szCs w:val="20"/>
            </w:rPr>
            <w:t>With-profits; Consumer; Communication</w:t>
          </w:r>
          <w:r w:rsidR="00D76473">
            <w:rPr>
              <w:rFonts w:ascii="Arial" w:hAnsi="Arial" w:cs="Arial"/>
              <w:sz w:val="20"/>
              <w:szCs w:val="20"/>
            </w:rPr>
            <w:t>; Treating Customers Fairly; Policyholder</w:t>
          </w:r>
        </w:p>
        <w:p w14:paraId="65A2D150" w14:textId="77777777" w:rsidR="00797372" w:rsidRPr="00893B5C" w:rsidRDefault="004A1E62" w:rsidP="00536E8C">
          <w:pPr>
            <w:spacing w:after="120"/>
            <w:jc w:val="both"/>
            <w:rPr>
              <w:rFonts w:ascii="Arial" w:hAnsi="Arial" w:cs="Arial"/>
              <w:sz w:val="20"/>
              <w:szCs w:val="20"/>
            </w:rPr>
          </w:pPr>
        </w:p>
      </w:sdtContent>
    </w:sdt>
    <w:p w14:paraId="3244D1EA" w14:textId="77777777" w:rsidR="00797372" w:rsidRPr="00893B5C" w:rsidRDefault="00797372" w:rsidP="00797372">
      <w:pPr>
        <w:rPr>
          <w:rFonts w:ascii="Arial" w:hAnsi="Arial" w:cs="Arial"/>
          <w:sz w:val="20"/>
          <w:szCs w:val="20"/>
        </w:rPr>
      </w:pPr>
      <w:r w:rsidRPr="00893B5C">
        <w:rPr>
          <w:rFonts w:ascii="Arial" w:hAnsi="Arial" w:cs="Arial"/>
          <w:b/>
          <w:sz w:val="20"/>
          <w:szCs w:val="20"/>
        </w:rPr>
        <w:t>Correspondence details</w:t>
      </w:r>
    </w:p>
    <w:sdt>
      <w:sdtPr>
        <w:rPr>
          <w:rFonts w:ascii="Arial" w:hAnsi="Arial" w:cs="Arial"/>
          <w:sz w:val="20"/>
          <w:szCs w:val="20"/>
        </w:rPr>
        <w:id w:val="-1404528440"/>
        <w:placeholder>
          <w:docPart w:val="04220529A26A4C98B9158451A7B005C3"/>
        </w:placeholder>
      </w:sdtPr>
      <w:sdtContent>
        <w:p w14:paraId="1535CE69" w14:textId="77777777" w:rsidR="00536E8C" w:rsidRDefault="00797372" w:rsidP="00536E8C">
          <w:pPr>
            <w:spacing w:after="120"/>
            <w:jc w:val="both"/>
            <w:rPr>
              <w:rFonts w:ascii="Arial" w:hAnsi="Arial" w:cs="Arial"/>
              <w:sz w:val="20"/>
              <w:szCs w:val="20"/>
            </w:rPr>
          </w:pPr>
          <w:r w:rsidRPr="00893B5C">
            <w:rPr>
              <w:rFonts w:ascii="Arial" w:hAnsi="Arial" w:cs="Arial"/>
              <w:sz w:val="20"/>
              <w:szCs w:val="20"/>
            </w:rPr>
            <w:t xml:space="preserve">*Correspondence to: </w:t>
          </w:r>
          <w:r w:rsidR="005E76BB">
            <w:rPr>
              <w:rFonts w:ascii="Arial" w:hAnsi="Arial" w:cs="Arial"/>
              <w:sz w:val="20"/>
              <w:szCs w:val="20"/>
            </w:rPr>
            <w:t>Tim Bateman</w:t>
          </w:r>
          <w:r w:rsidRPr="00893B5C">
            <w:rPr>
              <w:rFonts w:ascii="Arial" w:hAnsi="Arial" w:cs="Arial"/>
              <w:sz w:val="20"/>
              <w:szCs w:val="20"/>
            </w:rPr>
            <w:t xml:space="preserve">, </w:t>
          </w:r>
          <w:r w:rsidR="005E76BB">
            <w:rPr>
              <w:rFonts w:ascii="Arial" w:hAnsi="Arial" w:cs="Arial"/>
              <w:sz w:val="20"/>
              <w:szCs w:val="20"/>
            </w:rPr>
            <w:t>Life Actuarial Partner, Mazars LLP, Tower Bridge House, St Katherine’s Way, London, E1W 1DD,</w:t>
          </w:r>
          <w:r w:rsidRPr="00893B5C">
            <w:rPr>
              <w:rFonts w:ascii="Arial" w:hAnsi="Arial" w:cs="Arial"/>
              <w:sz w:val="20"/>
              <w:szCs w:val="20"/>
            </w:rPr>
            <w:t xml:space="preserve"> UK. E-mail: </w:t>
          </w:r>
          <w:hyperlink r:id="rId11" w:history="1">
            <w:r w:rsidR="005E76BB" w:rsidRPr="000413D8">
              <w:rPr>
                <w:rStyle w:val="Hyperlink"/>
                <w:rFonts w:ascii="Arial" w:hAnsi="Arial" w:cs="Arial"/>
                <w:sz w:val="20"/>
                <w:szCs w:val="20"/>
              </w:rPr>
              <w:t>Tim.Bateman@mazars.co.uk</w:t>
            </w:r>
          </w:hyperlink>
          <w:r w:rsidR="005E76BB">
            <w:rPr>
              <w:rFonts w:ascii="Arial" w:hAnsi="Arial" w:cs="Arial"/>
              <w:sz w:val="20"/>
              <w:szCs w:val="20"/>
            </w:rPr>
            <w:t xml:space="preserve"> </w:t>
          </w:r>
        </w:p>
        <w:p w14:paraId="4C3C41CC" w14:textId="77777777" w:rsidR="00797372" w:rsidRPr="00893B5C" w:rsidRDefault="004A1E62" w:rsidP="00536E8C">
          <w:pPr>
            <w:spacing w:after="120"/>
            <w:jc w:val="both"/>
            <w:rPr>
              <w:rFonts w:ascii="Arial" w:hAnsi="Arial" w:cs="Arial"/>
              <w:sz w:val="20"/>
              <w:szCs w:val="20"/>
            </w:rPr>
          </w:pPr>
        </w:p>
      </w:sdtContent>
    </w:sdt>
    <w:p w14:paraId="3EB51D08" w14:textId="77777777" w:rsidR="00797372" w:rsidRPr="00893B5C" w:rsidRDefault="005558E4" w:rsidP="00797372">
      <w:pPr>
        <w:rPr>
          <w:rFonts w:ascii="Arial" w:hAnsi="Arial" w:cs="Arial"/>
          <w:b/>
          <w:sz w:val="20"/>
          <w:szCs w:val="20"/>
        </w:rPr>
      </w:pPr>
      <w:r>
        <w:rPr>
          <w:rFonts w:ascii="Arial" w:hAnsi="Arial" w:cs="Arial"/>
          <w:b/>
          <w:sz w:val="20"/>
          <w:szCs w:val="20"/>
        </w:rPr>
        <w:t>1</w:t>
      </w:r>
      <w:r w:rsidR="00D76473">
        <w:rPr>
          <w:rFonts w:ascii="Arial" w:hAnsi="Arial" w:cs="Arial"/>
          <w:b/>
          <w:sz w:val="20"/>
          <w:szCs w:val="20"/>
        </w:rPr>
        <w:t>.</w:t>
      </w:r>
      <w:r>
        <w:rPr>
          <w:rFonts w:ascii="Arial" w:hAnsi="Arial" w:cs="Arial"/>
          <w:b/>
          <w:sz w:val="20"/>
          <w:szCs w:val="20"/>
        </w:rPr>
        <w:tab/>
      </w:r>
      <w:r w:rsidR="00797372" w:rsidRPr="00893B5C">
        <w:rPr>
          <w:rFonts w:ascii="Arial" w:hAnsi="Arial" w:cs="Arial"/>
          <w:b/>
          <w:sz w:val="20"/>
          <w:szCs w:val="20"/>
        </w:rPr>
        <w:t>Introduction</w:t>
      </w:r>
    </w:p>
    <w:sdt>
      <w:sdtPr>
        <w:rPr>
          <w:rFonts w:ascii="Arial" w:hAnsi="Arial" w:cs="Arial"/>
          <w:sz w:val="20"/>
          <w:szCs w:val="20"/>
        </w:rPr>
        <w:id w:val="-2097923617"/>
        <w:placeholder>
          <w:docPart w:val="04220529A26A4C98B9158451A7B005C3"/>
        </w:placeholder>
      </w:sdtPr>
      <w:sdtContent>
        <w:sdt>
          <w:sdtPr>
            <w:rPr>
              <w:rFonts w:ascii="Arial" w:hAnsi="Arial" w:cs="Arial"/>
              <w:sz w:val="20"/>
              <w:szCs w:val="20"/>
            </w:rPr>
            <w:id w:val="1124265236"/>
            <w:placeholder>
              <w:docPart w:val="E3BC7B9E8ADB4E5D92840A70F2CF8144"/>
            </w:placeholder>
          </w:sdtPr>
          <w:sdtContent>
            <w:p w14:paraId="4527814A" w14:textId="77777777" w:rsidR="005E7E4E" w:rsidRPr="00463D64" w:rsidRDefault="005E7E4E" w:rsidP="005E7E4E">
              <w:pPr>
                <w:rPr>
                  <w:rFonts w:ascii="Arial" w:hAnsi="Arial"/>
                  <w:sz w:val="20"/>
                </w:rPr>
              </w:pPr>
              <w:r w:rsidRPr="00463D64">
                <w:rPr>
                  <w:rFonts w:ascii="Arial" w:hAnsi="Arial"/>
                  <w:sz w:val="20"/>
                </w:rPr>
                <w:t xml:space="preserve">With-profits business is </w:t>
              </w:r>
              <w:r w:rsidR="00C021C7">
                <w:rPr>
                  <w:rFonts w:ascii="Arial" w:hAnsi="Arial"/>
                  <w:sz w:val="20"/>
                </w:rPr>
                <w:t xml:space="preserve">often </w:t>
              </w:r>
              <w:r w:rsidRPr="00463D64">
                <w:rPr>
                  <w:rFonts w:ascii="Arial" w:hAnsi="Arial"/>
                  <w:sz w:val="20"/>
                </w:rPr>
                <w:t xml:space="preserve">viewed as </w:t>
              </w:r>
              <w:r w:rsidR="00C021C7">
                <w:rPr>
                  <w:rFonts w:ascii="Arial" w:hAnsi="Arial"/>
                  <w:sz w:val="20"/>
                </w:rPr>
                <w:t xml:space="preserve">being </w:t>
              </w:r>
              <w:r w:rsidRPr="00463D64">
                <w:rPr>
                  <w:rFonts w:ascii="Arial" w:hAnsi="Arial"/>
                  <w:sz w:val="20"/>
                </w:rPr>
                <w:t xml:space="preserve">opaque, complex and not providing a clear and simple product to the customer. </w:t>
              </w:r>
              <w:r w:rsidR="00C021C7">
                <w:rPr>
                  <w:rFonts w:ascii="Arial" w:hAnsi="Arial"/>
                  <w:sz w:val="20"/>
                </w:rPr>
                <w:t xml:space="preserve">Common criticisms are that with-profits products </w:t>
              </w:r>
              <w:r w:rsidRPr="00463D64">
                <w:rPr>
                  <w:rFonts w:ascii="Arial" w:hAnsi="Arial"/>
                  <w:sz w:val="20"/>
                </w:rPr>
                <w:t>lack the apparent simplicity and transparency of many of the financial products sold to consumers in the current age.</w:t>
              </w:r>
            </w:p>
            <w:p w14:paraId="1797D55E" w14:textId="7AA679AC" w:rsidR="005E7E4E" w:rsidRPr="00463D64" w:rsidRDefault="005E7E4E" w:rsidP="005E7E4E">
              <w:pPr>
                <w:rPr>
                  <w:rFonts w:ascii="Arial" w:hAnsi="Arial"/>
                  <w:sz w:val="20"/>
                </w:rPr>
              </w:pPr>
              <w:r w:rsidRPr="00463D64">
                <w:rPr>
                  <w:rFonts w:ascii="Arial" w:hAnsi="Arial"/>
                  <w:sz w:val="20"/>
                </w:rPr>
                <w:t>Consumers, on the other hand, in surveys, state that they want products with guarantees so that they get their money back (or a high proportion of their money)</w:t>
              </w:r>
              <w:r w:rsidR="00C021C7">
                <w:rPr>
                  <w:rFonts w:ascii="Arial" w:hAnsi="Arial"/>
                  <w:sz w:val="20"/>
                </w:rPr>
                <w:t>.  They also place value on smoothed returns which provide some level of “buffer” against stock market volatility.</w:t>
              </w:r>
              <w:r w:rsidRPr="00463D64">
                <w:rPr>
                  <w:rFonts w:ascii="Arial" w:hAnsi="Arial"/>
                  <w:sz w:val="20"/>
                </w:rPr>
                <w:t xml:space="preserve"> and where some form of </w:t>
              </w:r>
              <w:r w:rsidR="001953B6">
                <w:rPr>
                  <w:rFonts w:ascii="Arial" w:hAnsi="Arial"/>
                  <w:sz w:val="20"/>
                </w:rPr>
                <w:t>regular</w:t>
              </w:r>
              <w:r w:rsidR="001953B6" w:rsidRPr="00463D64">
                <w:rPr>
                  <w:rFonts w:ascii="Arial" w:hAnsi="Arial"/>
                  <w:sz w:val="20"/>
                </w:rPr>
                <w:t xml:space="preserve"> </w:t>
              </w:r>
              <w:r w:rsidRPr="00463D64">
                <w:rPr>
                  <w:rFonts w:ascii="Arial" w:hAnsi="Arial"/>
                  <w:sz w:val="20"/>
                </w:rPr>
                <w:t xml:space="preserve">addition is given which cannot then be taken away. This </w:t>
              </w:r>
              <w:r w:rsidR="003F283C" w:rsidRPr="00463D64">
                <w:rPr>
                  <w:rFonts w:ascii="Arial" w:hAnsi="Arial"/>
                  <w:sz w:val="20"/>
                </w:rPr>
                <w:t>sounds quite a lot like th</w:t>
              </w:r>
              <w:r w:rsidRPr="00463D64">
                <w:rPr>
                  <w:rFonts w:ascii="Arial" w:hAnsi="Arial"/>
                  <w:sz w:val="20"/>
                </w:rPr>
                <w:t>e with-profits</w:t>
              </w:r>
              <w:r w:rsidR="003F283C" w:rsidRPr="00463D64">
                <w:rPr>
                  <w:rFonts w:ascii="Arial" w:hAnsi="Arial"/>
                  <w:sz w:val="20"/>
                </w:rPr>
                <w:t xml:space="preserve"> concept in essence</w:t>
              </w:r>
              <w:r w:rsidRPr="00463D64">
                <w:rPr>
                  <w:rFonts w:ascii="Arial" w:hAnsi="Arial"/>
                  <w:sz w:val="20"/>
                </w:rPr>
                <w:t>.</w:t>
              </w:r>
            </w:p>
            <w:p w14:paraId="36E136B0" w14:textId="77777777" w:rsidR="005E7E4E" w:rsidRPr="00463D64" w:rsidRDefault="003F283C" w:rsidP="007D65C3">
              <w:pPr>
                <w:rPr>
                  <w:rFonts w:ascii="Arial" w:hAnsi="Arial"/>
                  <w:sz w:val="20"/>
                </w:rPr>
              </w:pPr>
              <w:r w:rsidRPr="00463D64">
                <w:rPr>
                  <w:rFonts w:ascii="Arial" w:hAnsi="Arial"/>
                  <w:sz w:val="20"/>
                </w:rPr>
                <w:t>From another standpoint, the c</w:t>
              </w:r>
              <w:r w:rsidR="005E7E4E" w:rsidRPr="00463D64">
                <w:rPr>
                  <w:rFonts w:ascii="Arial" w:hAnsi="Arial"/>
                  <w:sz w:val="20"/>
                </w:rPr>
                <w:t xml:space="preserve">onsumer press sees with-profits </w:t>
              </w:r>
              <w:r w:rsidR="004B643D" w:rsidRPr="00463D64">
                <w:rPr>
                  <w:rFonts w:ascii="Arial" w:hAnsi="Arial"/>
                  <w:sz w:val="20"/>
                </w:rPr>
                <w:t>products as being (not to mince words)</w:t>
              </w:r>
              <w:r w:rsidR="005E7E4E" w:rsidRPr="00463D64">
                <w:rPr>
                  <w:rFonts w:ascii="Arial" w:hAnsi="Arial"/>
                  <w:sz w:val="20"/>
                </w:rPr>
                <w:t xml:space="preserve"> a “rip off”. </w:t>
              </w:r>
              <w:r w:rsidR="004B643D" w:rsidRPr="00463D64">
                <w:rPr>
                  <w:rFonts w:ascii="Arial" w:hAnsi="Arial"/>
                  <w:sz w:val="20"/>
                </w:rPr>
                <w:t xml:space="preserve">Articles reflect the reductions in payouts and that the outturn for consumers is in some cases considerably less than may have been </w:t>
              </w:r>
              <w:r w:rsidR="00BE514F">
                <w:rPr>
                  <w:rFonts w:ascii="Arial" w:hAnsi="Arial"/>
                  <w:sz w:val="20"/>
                </w:rPr>
                <w:t>estimated</w:t>
              </w:r>
              <w:r w:rsidR="00C021C7" w:rsidRPr="00463D64">
                <w:rPr>
                  <w:rFonts w:ascii="Arial" w:hAnsi="Arial"/>
                  <w:sz w:val="20"/>
                </w:rPr>
                <w:t xml:space="preserve"> </w:t>
              </w:r>
              <w:r w:rsidR="004B643D" w:rsidRPr="00463D64">
                <w:rPr>
                  <w:rFonts w:ascii="Arial" w:hAnsi="Arial"/>
                  <w:sz w:val="20"/>
                </w:rPr>
                <w:t xml:space="preserve">at the start. Adding fuel to the flames of </w:t>
              </w:r>
              <w:r w:rsidR="004B643D" w:rsidRPr="00463D64">
                <w:rPr>
                  <w:rFonts w:ascii="Arial" w:hAnsi="Arial"/>
                  <w:sz w:val="20"/>
                </w:rPr>
                <w:lastRenderedPageBreak/>
                <w:t xml:space="preserve">this argument is the performance of certain closed funds (which the press loves to call “Zombie funds”) </w:t>
              </w:r>
              <w:r w:rsidR="007D65C3" w:rsidRPr="00463D64">
                <w:rPr>
                  <w:rFonts w:ascii="Arial" w:hAnsi="Arial"/>
                  <w:sz w:val="20"/>
                </w:rPr>
                <w:t xml:space="preserve">and the mortgage-related endowment </w:t>
              </w:r>
              <w:proofErr w:type="spellStart"/>
              <w:r w:rsidR="007D65C3" w:rsidRPr="00463D64">
                <w:rPr>
                  <w:rFonts w:ascii="Arial" w:hAnsi="Arial"/>
                  <w:sz w:val="20"/>
                </w:rPr>
                <w:t>mis</w:t>
              </w:r>
              <w:proofErr w:type="spellEnd"/>
              <w:r w:rsidR="007D65C3" w:rsidRPr="00463D64">
                <w:rPr>
                  <w:rFonts w:ascii="Arial" w:hAnsi="Arial"/>
                  <w:sz w:val="20"/>
                </w:rPr>
                <w:t xml:space="preserve">-selling issue.  </w:t>
              </w:r>
            </w:p>
            <w:p w14:paraId="78FBD8F9" w14:textId="77777777" w:rsidR="005E7E4E" w:rsidRDefault="007D65C3" w:rsidP="005E7E4E">
              <w:r w:rsidRPr="00463D64">
                <w:rPr>
                  <w:rFonts w:ascii="Arial" w:hAnsi="Arial"/>
                  <w:sz w:val="20"/>
                </w:rPr>
                <w:t>In</w:t>
              </w:r>
              <w:r w:rsidR="001953B6">
                <w:rPr>
                  <w:rFonts w:ascii="Arial" w:hAnsi="Arial"/>
                  <w:sz w:val="20"/>
                </w:rPr>
                <w:t xml:space="preserve"> </w:t>
              </w:r>
              <w:r w:rsidRPr="00463D64">
                <w:rPr>
                  <w:rFonts w:ascii="Arial" w:hAnsi="Arial"/>
                  <w:sz w:val="20"/>
                </w:rPr>
                <w:t>light of this</w:t>
              </w:r>
              <w:r w:rsidR="005E7E4E" w:rsidRPr="00463D64">
                <w:rPr>
                  <w:rFonts w:ascii="Arial" w:hAnsi="Arial"/>
                  <w:sz w:val="20"/>
                </w:rPr>
                <w:t>, the Life Board thought it would be worthwhile testing the view of c</w:t>
              </w:r>
              <w:r w:rsidRPr="00463D64">
                <w:rPr>
                  <w:rFonts w:ascii="Arial" w:hAnsi="Arial"/>
                  <w:sz w:val="20"/>
                </w:rPr>
                <w:t>onsu</w:t>
              </w:r>
              <w:r w:rsidR="005E7E4E" w:rsidRPr="00463D64">
                <w:rPr>
                  <w:rFonts w:ascii="Arial" w:hAnsi="Arial"/>
                  <w:sz w:val="20"/>
                </w:rPr>
                <w:t xml:space="preserve">mers on with-profits </w:t>
              </w:r>
              <w:r w:rsidRPr="00463D64">
                <w:rPr>
                  <w:rFonts w:ascii="Arial" w:hAnsi="Arial"/>
                  <w:sz w:val="20"/>
                </w:rPr>
                <w:t xml:space="preserve">products </w:t>
              </w:r>
              <w:r w:rsidR="005E7E4E" w:rsidRPr="00463D64">
                <w:rPr>
                  <w:rFonts w:ascii="Arial" w:hAnsi="Arial"/>
                  <w:sz w:val="20"/>
                </w:rPr>
                <w:t xml:space="preserve">now and whether the current </w:t>
              </w:r>
              <w:r w:rsidRPr="00463D64">
                <w:rPr>
                  <w:rFonts w:ascii="Arial" w:hAnsi="Arial"/>
                  <w:sz w:val="20"/>
                </w:rPr>
                <w:t>communications</w:t>
              </w:r>
              <w:r w:rsidR="005E7E4E" w:rsidRPr="00463D64">
                <w:rPr>
                  <w:rFonts w:ascii="Arial" w:hAnsi="Arial"/>
                  <w:sz w:val="20"/>
                </w:rPr>
                <w:t xml:space="preserve"> and disclosure is </w:t>
              </w:r>
              <w:r w:rsidRPr="00463D64">
                <w:rPr>
                  <w:rFonts w:ascii="Arial" w:hAnsi="Arial"/>
                  <w:sz w:val="20"/>
                </w:rPr>
                <w:t>meeting their needs.  I</w:t>
              </w:r>
              <w:r w:rsidR="005E7E4E" w:rsidRPr="00463D64">
                <w:rPr>
                  <w:rFonts w:ascii="Arial" w:hAnsi="Arial"/>
                  <w:sz w:val="20"/>
                </w:rPr>
                <w:t xml:space="preserve">s </w:t>
              </w:r>
              <w:r w:rsidRPr="00463D64">
                <w:rPr>
                  <w:rFonts w:ascii="Arial" w:hAnsi="Arial"/>
                  <w:sz w:val="20"/>
                </w:rPr>
                <w:t xml:space="preserve">the documentation they receive </w:t>
              </w:r>
              <w:r w:rsidR="005E7E4E" w:rsidRPr="00463D64">
                <w:rPr>
                  <w:rFonts w:ascii="Arial" w:hAnsi="Arial"/>
                  <w:sz w:val="20"/>
                </w:rPr>
                <w:t xml:space="preserve">clear and do </w:t>
              </w:r>
              <w:r w:rsidRPr="00463D64">
                <w:rPr>
                  <w:rFonts w:ascii="Arial" w:hAnsi="Arial"/>
                  <w:sz w:val="20"/>
                </w:rPr>
                <w:t>consumers</w:t>
              </w:r>
              <w:r w:rsidR="005E7E4E" w:rsidRPr="00463D64">
                <w:rPr>
                  <w:rFonts w:ascii="Arial" w:hAnsi="Arial"/>
                  <w:sz w:val="20"/>
                </w:rPr>
                <w:t xml:space="preserve"> understand what they are getting</w:t>
              </w:r>
              <w:r w:rsidR="00C021C7">
                <w:rPr>
                  <w:rFonts w:ascii="Arial" w:hAnsi="Arial"/>
                  <w:sz w:val="20"/>
                </w:rPr>
                <w:t>?</w:t>
              </w:r>
              <w:r w:rsidRPr="00463D64">
                <w:rPr>
                  <w:rFonts w:ascii="Arial" w:hAnsi="Arial"/>
                  <w:sz w:val="20"/>
                </w:rPr>
                <w:t xml:space="preserve">  Further </w:t>
              </w:r>
              <w:r w:rsidR="005E7E4E" w:rsidRPr="00463D64">
                <w:rPr>
                  <w:rFonts w:ascii="Arial" w:hAnsi="Arial"/>
                  <w:sz w:val="20"/>
                </w:rPr>
                <w:t>do they value the product compared with other options</w:t>
              </w:r>
              <w:r w:rsidR="00C021C7">
                <w:rPr>
                  <w:rFonts w:ascii="Arial" w:hAnsi="Arial"/>
                  <w:sz w:val="20"/>
                </w:rPr>
                <w:t>?</w:t>
              </w:r>
              <w:r w:rsidR="00C021C7" w:rsidRPr="00463D64">
                <w:rPr>
                  <w:rFonts w:ascii="Arial" w:hAnsi="Arial"/>
                  <w:sz w:val="20"/>
                </w:rPr>
                <w:t xml:space="preserve"> </w:t>
              </w:r>
              <w:r w:rsidRPr="00463D64">
                <w:rPr>
                  <w:rFonts w:ascii="Arial" w:hAnsi="Arial"/>
                  <w:sz w:val="20"/>
                </w:rPr>
                <w:t>Are there things the Life Industry should now be doing to encourage better understanding via clearer or different</w:t>
              </w:r>
              <w:r>
                <w:t xml:space="preserve"> communications</w:t>
              </w:r>
              <w:r w:rsidR="00C021C7">
                <w:t>?</w:t>
              </w:r>
            </w:p>
            <w:p w14:paraId="70BFBCE5" w14:textId="77777777" w:rsidR="006E193B" w:rsidRPr="0030143E" w:rsidRDefault="006E193B" w:rsidP="006E193B">
              <w:pPr>
                <w:spacing w:after="240"/>
                <w:jc w:val="both"/>
                <w:rPr>
                  <w:rFonts w:ascii="Arial" w:hAnsi="Arial" w:cs="Arial"/>
                  <w:sz w:val="20"/>
                  <w:szCs w:val="20"/>
                </w:rPr>
              </w:pPr>
              <w:r w:rsidRPr="0030143E">
                <w:rPr>
                  <w:rFonts w:ascii="Arial" w:hAnsi="Arial" w:cs="Arial"/>
                  <w:sz w:val="20"/>
                  <w:szCs w:val="20"/>
                </w:rPr>
                <w:t xml:space="preserve">The specific objectives </w:t>
              </w:r>
              <w:r>
                <w:rPr>
                  <w:rFonts w:ascii="Arial" w:hAnsi="Arial" w:cs="Arial"/>
                  <w:sz w:val="20"/>
                  <w:szCs w:val="20"/>
                </w:rPr>
                <w:t xml:space="preserve">for the Working Party were </w:t>
              </w:r>
              <w:r w:rsidR="007D65C3">
                <w:rPr>
                  <w:rFonts w:ascii="Arial" w:hAnsi="Arial" w:cs="Arial"/>
                  <w:sz w:val="20"/>
                  <w:szCs w:val="20"/>
                </w:rPr>
                <w:t xml:space="preserve">thus </w:t>
              </w:r>
              <w:r>
                <w:rPr>
                  <w:rFonts w:ascii="Arial" w:hAnsi="Arial" w:cs="Arial"/>
                  <w:sz w:val="20"/>
                  <w:szCs w:val="20"/>
                </w:rPr>
                <w:t>to consider:</w:t>
              </w:r>
            </w:p>
            <w:p w14:paraId="06BE8186" w14:textId="77777777" w:rsidR="006E193B" w:rsidRPr="008773CF" w:rsidRDefault="006E193B" w:rsidP="006E193B">
              <w:pPr>
                <w:spacing w:after="240"/>
                <w:jc w:val="both"/>
                <w:rPr>
                  <w:rFonts w:ascii="Arial" w:hAnsi="Arial" w:cs="Arial"/>
                  <w:sz w:val="20"/>
                  <w:szCs w:val="20"/>
                </w:rPr>
              </w:pPr>
              <w:r w:rsidRPr="008773CF">
                <w:rPr>
                  <w:rFonts w:ascii="Arial" w:hAnsi="Arial" w:cs="Arial"/>
                  <w:sz w:val="20"/>
                  <w:szCs w:val="20"/>
                </w:rPr>
                <w:t xml:space="preserve">Do consumers understand the value of their with-profits policies and, in particular, is the value of inherent guarantees and potential for real asset growth recognised by consumers?  </w:t>
              </w:r>
            </w:p>
            <w:p w14:paraId="557BAD8C" w14:textId="77777777" w:rsidR="00BB3365" w:rsidRDefault="006E193B" w:rsidP="006E193B">
              <w:pPr>
                <w:spacing w:after="240"/>
                <w:jc w:val="both"/>
                <w:rPr>
                  <w:rFonts w:ascii="Arial" w:hAnsi="Arial" w:cs="Arial"/>
                  <w:sz w:val="20"/>
                  <w:szCs w:val="20"/>
                </w:rPr>
              </w:pPr>
              <w:r w:rsidRPr="008773CF">
                <w:rPr>
                  <w:rFonts w:ascii="Arial" w:hAnsi="Arial" w:cs="Arial"/>
                  <w:sz w:val="20"/>
                  <w:szCs w:val="20"/>
                </w:rPr>
                <w:t>What is the consumer’s perspective on the run-off of with-profits funds?  Are consumers getting what they signed up for and do they understand the potential “end games” of the run-off of the fund?</w:t>
              </w:r>
            </w:p>
            <w:p w14:paraId="04BDB2B9" w14:textId="77777777" w:rsidR="006E193B" w:rsidRPr="000F1900" w:rsidRDefault="006E193B" w:rsidP="006E193B">
              <w:pPr>
                <w:spacing w:after="240"/>
                <w:jc w:val="both"/>
                <w:rPr>
                  <w:rFonts w:ascii="Arial" w:hAnsi="Arial" w:cs="Arial"/>
                  <w:sz w:val="20"/>
                  <w:szCs w:val="20"/>
                </w:rPr>
              </w:pPr>
              <w:r>
                <w:rPr>
                  <w:rFonts w:ascii="Arial" w:hAnsi="Arial" w:cs="Arial"/>
                  <w:sz w:val="20"/>
                  <w:szCs w:val="20"/>
                </w:rPr>
                <w:t xml:space="preserve">Our work has been split into two phases: </w:t>
              </w:r>
            </w:p>
            <w:p w14:paraId="7C7E1508" w14:textId="77777777" w:rsidR="006E193B" w:rsidRPr="008773CF" w:rsidRDefault="006E193B" w:rsidP="006E193B">
              <w:pPr>
                <w:spacing w:after="240"/>
                <w:jc w:val="both"/>
                <w:rPr>
                  <w:rFonts w:ascii="Arial" w:hAnsi="Arial" w:cs="Arial"/>
                  <w:sz w:val="20"/>
                  <w:szCs w:val="20"/>
                </w:rPr>
              </w:pPr>
              <w:r w:rsidRPr="008773CF">
                <w:rPr>
                  <w:rFonts w:ascii="Arial" w:hAnsi="Arial" w:cs="Arial"/>
                  <w:sz w:val="20"/>
                  <w:szCs w:val="20"/>
                </w:rPr>
                <w:t>Phase 1</w:t>
              </w:r>
              <w:r>
                <w:rPr>
                  <w:rFonts w:ascii="Arial" w:hAnsi="Arial" w:cs="Arial"/>
                  <w:sz w:val="20"/>
                  <w:szCs w:val="20"/>
                </w:rPr>
                <w:t xml:space="preserve"> (covered by this report)</w:t>
              </w:r>
              <w:r w:rsidRPr="008773CF">
                <w:rPr>
                  <w:rFonts w:ascii="Arial" w:hAnsi="Arial" w:cs="Arial"/>
                  <w:sz w:val="20"/>
                  <w:szCs w:val="20"/>
                </w:rPr>
                <w:t xml:space="preserve"> – desk-based research</w:t>
              </w:r>
            </w:p>
            <w:p w14:paraId="0BF9CC18" w14:textId="77777777" w:rsidR="007D65C3" w:rsidRDefault="006E193B" w:rsidP="006E193B">
              <w:pPr>
                <w:spacing w:after="240"/>
                <w:jc w:val="both"/>
                <w:rPr>
                  <w:rFonts w:ascii="Arial" w:hAnsi="Arial" w:cs="Arial"/>
                  <w:sz w:val="20"/>
                  <w:szCs w:val="20"/>
                </w:rPr>
              </w:pPr>
              <w:r w:rsidRPr="008773CF">
                <w:rPr>
                  <w:rFonts w:ascii="Arial" w:hAnsi="Arial" w:cs="Arial"/>
                  <w:sz w:val="20"/>
                  <w:szCs w:val="20"/>
                </w:rPr>
                <w:t xml:space="preserve">Phase 2 – consumer survey with questions informed by </w:t>
              </w:r>
              <w:r>
                <w:rPr>
                  <w:rFonts w:ascii="Arial" w:hAnsi="Arial" w:cs="Arial"/>
                  <w:sz w:val="20"/>
                  <w:szCs w:val="20"/>
                </w:rPr>
                <w:t>the Phase 1 output</w:t>
              </w:r>
            </w:p>
            <w:p w14:paraId="091775AF" w14:textId="77777777" w:rsidR="006E193B" w:rsidRPr="0030143E" w:rsidRDefault="006E193B" w:rsidP="006E193B">
              <w:pPr>
                <w:spacing w:after="240"/>
                <w:jc w:val="both"/>
                <w:rPr>
                  <w:rFonts w:ascii="Arial" w:hAnsi="Arial" w:cs="Arial"/>
                  <w:sz w:val="20"/>
                  <w:szCs w:val="20"/>
                </w:rPr>
              </w:pPr>
              <w:r>
                <w:rPr>
                  <w:rFonts w:ascii="Arial" w:hAnsi="Arial" w:cs="Arial"/>
                  <w:sz w:val="20"/>
                  <w:szCs w:val="20"/>
                </w:rPr>
                <w:t xml:space="preserve">Our summary Phase 1 report was presented at the Current Issues in Life Assurance meeting in May 2017.  This report represents the formal conclusion of Phase 1.  Phase 2 is now </w:t>
              </w:r>
              <w:r w:rsidR="008B4E6B">
                <w:rPr>
                  <w:rFonts w:ascii="Arial" w:hAnsi="Arial" w:cs="Arial"/>
                  <w:sz w:val="20"/>
                  <w:szCs w:val="20"/>
                </w:rPr>
                <w:t xml:space="preserve">in progress </w:t>
              </w:r>
              <w:r>
                <w:rPr>
                  <w:rFonts w:ascii="Arial" w:hAnsi="Arial" w:cs="Arial"/>
                  <w:sz w:val="20"/>
                  <w:szCs w:val="20"/>
                </w:rPr>
                <w:t>and we provide</w:t>
              </w:r>
              <w:r w:rsidR="007D65C3">
                <w:rPr>
                  <w:rFonts w:ascii="Arial" w:hAnsi="Arial" w:cs="Arial"/>
                  <w:sz w:val="20"/>
                  <w:szCs w:val="20"/>
                </w:rPr>
                <w:t>d</w:t>
              </w:r>
              <w:r>
                <w:rPr>
                  <w:rFonts w:ascii="Arial" w:hAnsi="Arial" w:cs="Arial"/>
                  <w:sz w:val="20"/>
                  <w:szCs w:val="20"/>
                </w:rPr>
                <w:t xml:space="preserve"> an initial report on the results and conclusions to be drawn from the consumer survey to the Life Conference in November 2017.</w:t>
              </w:r>
            </w:p>
            <w:p w14:paraId="640A808E" w14:textId="77777777" w:rsidR="006E193B" w:rsidRPr="00151B7A" w:rsidRDefault="00166D35" w:rsidP="006E193B">
              <w:pPr>
                <w:spacing w:after="240"/>
                <w:jc w:val="both"/>
                <w:rPr>
                  <w:rFonts w:ascii="Arial" w:hAnsi="Arial" w:cs="Arial"/>
                  <w:b/>
                  <w:sz w:val="20"/>
                  <w:szCs w:val="20"/>
                </w:rPr>
              </w:pPr>
              <w:r>
                <w:rPr>
                  <w:rFonts w:ascii="Arial" w:hAnsi="Arial" w:cs="Arial"/>
                  <w:sz w:val="20"/>
                  <w:szCs w:val="20"/>
                </w:rPr>
                <w:t>T</w:t>
              </w:r>
              <w:r w:rsidR="006E193B">
                <w:rPr>
                  <w:rFonts w:ascii="Arial" w:hAnsi="Arial" w:cs="Arial"/>
                  <w:sz w:val="20"/>
                  <w:szCs w:val="20"/>
                </w:rPr>
                <w:t xml:space="preserve">hree distinct aspects of consumers’ interaction with with-profits business were investigated in </w:t>
              </w:r>
              <w:r w:rsidR="005E7E4E">
                <w:rPr>
                  <w:rFonts w:ascii="Arial" w:hAnsi="Arial" w:cs="Arial"/>
                  <w:sz w:val="20"/>
                  <w:szCs w:val="20"/>
                </w:rPr>
                <w:t>P</w:t>
              </w:r>
              <w:r w:rsidR="006E193B">
                <w:rPr>
                  <w:rFonts w:ascii="Arial" w:hAnsi="Arial" w:cs="Arial"/>
                  <w:sz w:val="20"/>
                  <w:szCs w:val="20"/>
                </w:rPr>
                <w:t>hase 1:</w:t>
              </w:r>
            </w:p>
            <w:p w14:paraId="01F2BA75" w14:textId="77777777" w:rsidR="006E193B" w:rsidRDefault="006E193B" w:rsidP="006E193B">
              <w:pPr>
                <w:pStyle w:val="ListParagraph"/>
                <w:numPr>
                  <w:ilvl w:val="0"/>
                  <w:numId w:val="16"/>
                </w:numPr>
                <w:spacing w:after="240"/>
                <w:jc w:val="both"/>
                <w:rPr>
                  <w:rFonts w:cs="Arial"/>
                  <w:szCs w:val="20"/>
                </w:rPr>
              </w:pPr>
              <w:r w:rsidRPr="00151B7A">
                <w:rPr>
                  <w:rFonts w:cs="Arial"/>
                  <w:b/>
                  <w:szCs w:val="20"/>
                </w:rPr>
                <w:t>The</w:t>
              </w:r>
              <w:r w:rsidRPr="00151B7A">
                <w:rPr>
                  <w:b/>
                </w:rPr>
                <w:t xml:space="preserve"> </w:t>
              </w:r>
              <w:r w:rsidR="00100591">
                <w:rPr>
                  <w:b/>
                </w:rPr>
                <w:t>with-profits landscape</w:t>
              </w:r>
              <w:r w:rsidRPr="00151B7A">
                <w:rPr>
                  <w:rFonts w:cs="Arial"/>
                  <w:b/>
                  <w:szCs w:val="20"/>
                </w:rPr>
                <w:t>:</w:t>
              </w:r>
              <w:r w:rsidRPr="006A4BB8">
                <w:t xml:space="preserve"> </w:t>
              </w:r>
              <w:r w:rsidR="00100591">
                <w:t xml:space="preserve">the background and context for with-profits business today, </w:t>
              </w:r>
              <w:r w:rsidRPr="00A30EC3">
                <w:t xml:space="preserve">the features, options and guarantees that they contain now and how this has evolved over recent years.  This section also </w:t>
              </w:r>
              <w:r w:rsidRPr="00A30EC3">
                <w:rPr>
                  <w:rFonts w:cs="Arial"/>
                  <w:szCs w:val="20"/>
                </w:rPr>
                <w:t>consider</w:t>
              </w:r>
              <w:r>
                <w:rPr>
                  <w:rFonts w:cs="Arial"/>
                  <w:szCs w:val="20"/>
                </w:rPr>
                <w:t>ed</w:t>
              </w:r>
              <w:r w:rsidRPr="006A4BB8">
                <w:t xml:space="preserve"> recent investment performance against comparable alternative products</w:t>
              </w:r>
              <w:r w:rsidRPr="00A30EC3">
                <w:t>.</w:t>
              </w:r>
            </w:p>
            <w:p w14:paraId="57E7B913" w14:textId="77777777" w:rsidR="006E193B" w:rsidRPr="00A30EC3" w:rsidRDefault="006E193B" w:rsidP="006E193B">
              <w:pPr>
                <w:pStyle w:val="ListParagraph"/>
                <w:spacing w:after="240"/>
                <w:jc w:val="both"/>
                <w:rPr>
                  <w:rFonts w:cs="Arial"/>
                  <w:szCs w:val="20"/>
                </w:rPr>
              </w:pPr>
            </w:p>
            <w:p w14:paraId="6FB3EBF0" w14:textId="77777777" w:rsidR="006E193B" w:rsidRDefault="00100591" w:rsidP="006E193B">
              <w:pPr>
                <w:pStyle w:val="ListParagraph"/>
                <w:numPr>
                  <w:ilvl w:val="0"/>
                  <w:numId w:val="16"/>
                </w:numPr>
                <w:spacing w:after="240"/>
                <w:jc w:val="both"/>
              </w:pPr>
              <w:r>
                <w:rPr>
                  <w:rFonts w:cs="Arial"/>
                  <w:b/>
                  <w:szCs w:val="20"/>
                </w:rPr>
                <w:t xml:space="preserve">With-profits research from the consumer perspective: </w:t>
              </w:r>
              <w:r w:rsidRPr="00463D64">
                <w:t>the a</w:t>
              </w:r>
              <w:r w:rsidR="006E193B" w:rsidRPr="00463D64">
                <w:t>vailable research</w:t>
              </w:r>
              <w:r>
                <w:rPr>
                  <w:rFonts w:cs="Arial"/>
                  <w:b/>
                  <w:szCs w:val="20"/>
                </w:rPr>
                <w:t xml:space="preserve">, </w:t>
              </w:r>
              <w:r w:rsidR="006E193B" w:rsidRPr="00A30EC3">
                <w:rPr>
                  <w:rFonts w:cs="Arial"/>
                  <w:szCs w:val="20"/>
                </w:rPr>
                <w:t>conside</w:t>
              </w:r>
              <w:r w:rsidR="006E193B">
                <w:rPr>
                  <w:rFonts w:cs="Arial"/>
                  <w:szCs w:val="20"/>
                </w:rPr>
                <w:t>ring</w:t>
              </w:r>
              <w:r w:rsidR="006E193B" w:rsidRPr="00A30EC3">
                <w:rPr>
                  <w:rFonts w:cs="Arial"/>
                  <w:szCs w:val="20"/>
                </w:rPr>
                <w:t xml:space="preserve"> </w:t>
              </w:r>
              <w:r w:rsidR="006E193B" w:rsidRPr="00A30EC3">
                <w:t>insights into consumer views</w:t>
              </w:r>
              <w:r w:rsidR="006E193B">
                <w:rPr>
                  <w:rFonts w:cs="Arial"/>
                  <w:szCs w:val="20"/>
                </w:rPr>
                <w:t xml:space="preserve"> of their with profits policies</w:t>
              </w:r>
              <w:r w:rsidR="006E193B" w:rsidRPr="006A4BB8">
                <w:t xml:space="preserve">. </w:t>
              </w:r>
              <w:r w:rsidR="006E193B" w:rsidRPr="00A30EC3">
                <w:t>Given the paucity of the information available here, we turned to other sources, notably provider-based customer research which a number of insurance companies generously shared</w:t>
              </w:r>
              <w:r w:rsidR="006E193B">
                <w:t>.</w:t>
              </w:r>
            </w:p>
            <w:p w14:paraId="646F4574" w14:textId="77777777" w:rsidR="006E193B" w:rsidRDefault="006E193B" w:rsidP="006E193B">
              <w:pPr>
                <w:pStyle w:val="ListParagraph"/>
                <w:spacing w:after="240"/>
                <w:jc w:val="both"/>
                <w:rPr>
                  <w:rFonts w:cs="Arial"/>
                  <w:szCs w:val="20"/>
                </w:rPr>
              </w:pPr>
            </w:p>
            <w:p w14:paraId="1BC8694E" w14:textId="77777777" w:rsidR="006E193B" w:rsidRPr="006A4BB8" w:rsidRDefault="00100591" w:rsidP="006E193B">
              <w:pPr>
                <w:pStyle w:val="ListParagraph"/>
                <w:numPr>
                  <w:ilvl w:val="0"/>
                  <w:numId w:val="16"/>
                </w:numPr>
                <w:spacing w:after="240"/>
                <w:jc w:val="both"/>
              </w:pPr>
              <w:r>
                <w:rPr>
                  <w:rFonts w:cs="Arial"/>
                  <w:b/>
                  <w:szCs w:val="20"/>
                </w:rPr>
                <w:t>With-profits consumer</w:t>
              </w:r>
              <w:r w:rsidRPr="00151B7A">
                <w:rPr>
                  <w:rFonts w:cs="Arial"/>
                  <w:b/>
                  <w:szCs w:val="20"/>
                </w:rPr>
                <w:t xml:space="preserve"> </w:t>
              </w:r>
              <w:r w:rsidR="006E193B" w:rsidRPr="00151B7A">
                <w:rPr>
                  <w:rFonts w:cs="Arial"/>
                  <w:b/>
                  <w:szCs w:val="20"/>
                </w:rPr>
                <w:t>communication</w:t>
              </w:r>
              <w:r>
                <w:rPr>
                  <w:rFonts w:cs="Arial"/>
                  <w:b/>
                  <w:szCs w:val="20"/>
                </w:rPr>
                <w:t>s</w:t>
              </w:r>
              <w:r w:rsidR="006E193B" w:rsidRPr="00151B7A">
                <w:rPr>
                  <w:rFonts w:cs="Arial"/>
                  <w:b/>
                  <w:szCs w:val="20"/>
                </w:rPr>
                <w:t>:</w:t>
              </w:r>
              <w:r w:rsidR="006E193B">
                <w:rPr>
                  <w:rFonts w:cs="Arial"/>
                  <w:szCs w:val="20"/>
                </w:rPr>
                <w:t xml:space="preserve"> T</w:t>
              </w:r>
              <w:r w:rsidR="006E193B" w:rsidRPr="00A30EC3">
                <w:rPr>
                  <w:rFonts w:cs="Arial"/>
                  <w:szCs w:val="20"/>
                </w:rPr>
                <w:t>he</w:t>
              </w:r>
              <w:r w:rsidR="006E193B" w:rsidRPr="006A4BB8">
                <w:t xml:space="preserve"> way </w:t>
              </w:r>
              <w:r w:rsidR="006E193B" w:rsidRPr="00A30EC3">
                <w:t>the</w:t>
              </w:r>
              <w:r w:rsidR="006E193B">
                <w:rPr>
                  <w:rFonts w:cs="Arial"/>
                  <w:szCs w:val="20"/>
                </w:rPr>
                <w:t xml:space="preserve"> insurance</w:t>
              </w:r>
              <w:r w:rsidR="006E193B" w:rsidRPr="006A4BB8">
                <w:t xml:space="preserve"> industry communicates the value of with-profits business to its consumers.  This took the form of a review of over </w:t>
              </w:r>
              <w:r w:rsidR="006E193B">
                <w:rPr>
                  <w:rFonts w:cs="Arial"/>
                  <w:szCs w:val="20"/>
                </w:rPr>
                <w:t>30</w:t>
              </w:r>
              <w:r w:rsidR="006E193B" w:rsidRPr="006A4BB8">
                <w:t xml:space="preserve"> different companies benefit statements and illustrations to</w:t>
              </w:r>
              <w:r w:rsidR="006E193B">
                <w:t xml:space="preserve"> </w:t>
              </w:r>
              <w:r w:rsidR="006E193B">
                <w:rPr>
                  <w:rFonts w:cs="Arial"/>
                  <w:szCs w:val="20"/>
                </w:rPr>
                <w:t>assess</w:t>
              </w:r>
              <w:r w:rsidR="006E193B" w:rsidRPr="006A4BB8">
                <w:t xml:space="preserve"> the extent </w:t>
              </w:r>
              <w:r w:rsidR="006E193B">
                <w:rPr>
                  <w:rFonts w:cs="Arial"/>
                  <w:szCs w:val="20"/>
                </w:rPr>
                <w:t>of</w:t>
              </w:r>
              <w:r w:rsidR="006E193B" w:rsidRPr="006A4BB8">
                <w:t xml:space="preserve"> standardisation, emerging best practice or innovative ideas for these complex communications.</w:t>
              </w:r>
            </w:p>
            <w:p w14:paraId="727C99F8" w14:textId="77777777" w:rsidR="006E193B" w:rsidRPr="008773CF" w:rsidRDefault="006E193B" w:rsidP="006E193B">
              <w:pPr>
                <w:spacing w:after="240"/>
                <w:jc w:val="both"/>
                <w:rPr>
                  <w:rFonts w:ascii="Arial" w:hAnsi="Arial" w:cs="Arial"/>
                  <w:sz w:val="20"/>
                  <w:szCs w:val="20"/>
                </w:rPr>
              </w:pPr>
              <w:r>
                <w:rPr>
                  <w:rFonts w:ascii="Arial" w:hAnsi="Arial" w:cs="Arial"/>
                  <w:sz w:val="20"/>
                  <w:szCs w:val="20"/>
                </w:rPr>
                <w:t>These three</w:t>
              </w:r>
              <w:r w:rsidRPr="008773CF">
                <w:rPr>
                  <w:rFonts w:ascii="Arial" w:hAnsi="Arial" w:cs="Arial"/>
                  <w:sz w:val="20"/>
                  <w:szCs w:val="20"/>
                </w:rPr>
                <w:t xml:space="preserve"> aspect</w:t>
              </w:r>
              <w:r>
                <w:rPr>
                  <w:rFonts w:ascii="Arial" w:hAnsi="Arial" w:cs="Arial"/>
                  <w:sz w:val="20"/>
                  <w:szCs w:val="20"/>
                </w:rPr>
                <w:t>s were</w:t>
              </w:r>
              <w:r w:rsidRPr="008773CF">
                <w:rPr>
                  <w:rFonts w:ascii="Arial" w:hAnsi="Arial" w:cs="Arial"/>
                  <w:sz w:val="20"/>
                  <w:szCs w:val="20"/>
                </w:rPr>
                <w:t xml:space="preserve"> looked at by a different sub-group of the working party so the views expressed in this paper are not necessarily the views of all members of the working party. The members of the working party are listed </w:t>
              </w:r>
              <w:r w:rsidR="00BB3365">
                <w:rPr>
                  <w:rFonts w:ascii="Arial" w:hAnsi="Arial" w:cs="Arial"/>
                  <w:sz w:val="20"/>
                  <w:szCs w:val="20"/>
                </w:rPr>
                <w:t>at the beginning of this paper</w:t>
              </w:r>
              <w:r w:rsidRPr="008773CF">
                <w:rPr>
                  <w:rFonts w:ascii="Arial" w:hAnsi="Arial" w:cs="Arial"/>
                  <w:sz w:val="20"/>
                  <w:szCs w:val="20"/>
                </w:rPr>
                <w:t xml:space="preserve">. </w:t>
              </w:r>
            </w:p>
            <w:p w14:paraId="312BA79F" w14:textId="77777777" w:rsidR="005E7E4E" w:rsidRDefault="005E7E4E" w:rsidP="005E7E4E">
              <w:pPr>
                <w:spacing w:after="240"/>
                <w:jc w:val="both"/>
                <w:rPr>
                  <w:rFonts w:ascii="Arial" w:hAnsi="Arial" w:cs="Arial"/>
                  <w:sz w:val="20"/>
                  <w:szCs w:val="20"/>
                </w:rPr>
              </w:pPr>
              <w:r>
                <w:rPr>
                  <w:rFonts w:ascii="Arial" w:hAnsi="Arial" w:cs="Arial"/>
                  <w:sz w:val="20"/>
                  <w:szCs w:val="20"/>
                </w:rPr>
                <w:t>We would like to offer our sincere thanks to all the companies who have helped the working party through the contribution of information, sample documents and consumer survey results of their own policyholders.</w:t>
              </w:r>
            </w:p>
            <w:p w14:paraId="72CA4138" w14:textId="77777777" w:rsidR="005E7E4E" w:rsidRDefault="005E7E4E" w:rsidP="005E7E4E">
              <w:pPr>
                <w:spacing w:after="240"/>
                <w:jc w:val="both"/>
                <w:rPr>
                  <w:rFonts w:ascii="Arial" w:hAnsi="Arial" w:cs="Arial"/>
                  <w:sz w:val="20"/>
                  <w:szCs w:val="20"/>
                </w:rPr>
              </w:pPr>
              <w:r>
                <w:rPr>
                  <w:rFonts w:ascii="Arial" w:hAnsi="Arial" w:cs="Arial"/>
                  <w:sz w:val="20"/>
                  <w:szCs w:val="20"/>
                </w:rPr>
                <w:lastRenderedPageBreak/>
                <w:t xml:space="preserve">Our thanks also go to Willis Towers Watson for allowing us to make use of the data </w:t>
              </w:r>
              <w:r w:rsidR="00BE0DBC">
                <w:rPr>
                  <w:rFonts w:ascii="Arial" w:hAnsi="Arial" w:cs="Arial"/>
                  <w:sz w:val="20"/>
                  <w:szCs w:val="20"/>
                </w:rPr>
                <w:t xml:space="preserve">on with-profits fund performance </w:t>
              </w:r>
              <w:r>
                <w:rPr>
                  <w:rFonts w:ascii="Arial" w:hAnsi="Arial" w:cs="Arial"/>
                  <w:sz w:val="20"/>
                  <w:szCs w:val="20"/>
                </w:rPr>
                <w:t xml:space="preserve">that they have collected for many years and which may be of even greater value going forwards with the removal of the PRA return from 2017. </w:t>
              </w:r>
            </w:p>
            <w:p w14:paraId="543505F7" w14:textId="77777777" w:rsidR="006E193B" w:rsidRDefault="004A1E62" w:rsidP="006E193B">
              <w:pPr>
                <w:spacing w:after="240"/>
                <w:jc w:val="both"/>
                <w:rPr>
                  <w:rFonts w:ascii="Arial" w:hAnsi="Arial" w:cs="Arial"/>
                  <w:sz w:val="20"/>
                  <w:szCs w:val="20"/>
                </w:rPr>
              </w:pPr>
            </w:p>
          </w:sdtContent>
        </w:sdt>
        <w:p w14:paraId="1132C20E" w14:textId="77777777" w:rsidR="00797372" w:rsidRPr="00893B5C" w:rsidRDefault="004A1E62" w:rsidP="00881FEB">
          <w:pPr>
            <w:spacing w:after="240"/>
            <w:jc w:val="both"/>
            <w:rPr>
              <w:rFonts w:ascii="Arial" w:hAnsi="Arial" w:cs="Arial"/>
              <w:sz w:val="20"/>
              <w:szCs w:val="20"/>
            </w:rPr>
          </w:pPr>
        </w:p>
      </w:sdtContent>
    </w:sdt>
    <w:p w14:paraId="634B4716" w14:textId="77777777" w:rsidR="00797372" w:rsidRPr="00893B5C" w:rsidRDefault="005558E4" w:rsidP="00797372">
      <w:pPr>
        <w:rPr>
          <w:rFonts w:ascii="Arial" w:hAnsi="Arial" w:cs="Arial"/>
          <w:sz w:val="20"/>
          <w:szCs w:val="20"/>
        </w:rPr>
      </w:pPr>
      <w:r>
        <w:rPr>
          <w:rFonts w:ascii="Arial" w:hAnsi="Arial" w:cs="Arial"/>
          <w:b/>
          <w:sz w:val="20"/>
          <w:szCs w:val="20"/>
        </w:rPr>
        <w:t>2</w:t>
      </w:r>
      <w:r w:rsidR="00D76473">
        <w:rPr>
          <w:rFonts w:ascii="Arial" w:hAnsi="Arial" w:cs="Arial"/>
          <w:b/>
          <w:sz w:val="20"/>
          <w:szCs w:val="20"/>
        </w:rPr>
        <w:t>.</w:t>
      </w:r>
      <w:r>
        <w:rPr>
          <w:rFonts w:ascii="Arial" w:hAnsi="Arial" w:cs="Arial"/>
          <w:b/>
          <w:sz w:val="20"/>
          <w:szCs w:val="20"/>
        </w:rPr>
        <w:tab/>
      </w:r>
      <w:r w:rsidR="00881FEB">
        <w:rPr>
          <w:rFonts w:ascii="Arial" w:hAnsi="Arial" w:cs="Arial"/>
          <w:b/>
          <w:sz w:val="20"/>
          <w:szCs w:val="20"/>
        </w:rPr>
        <w:t>The with</w:t>
      </w:r>
      <w:r w:rsidR="00D76473">
        <w:rPr>
          <w:rFonts w:ascii="Arial" w:hAnsi="Arial" w:cs="Arial"/>
          <w:b/>
          <w:sz w:val="20"/>
          <w:szCs w:val="20"/>
        </w:rPr>
        <w:t>-profits</w:t>
      </w:r>
      <w:r w:rsidR="00797372" w:rsidRPr="00893B5C">
        <w:rPr>
          <w:rFonts w:ascii="Arial" w:hAnsi="Arial" w:cs="Arial"/>
          <w:b/>
          <w:sz w:val="20"/>
          <w:szCs w:val="20"/>
        </w:rPr>
        <w:t xml:space="preserve"> </w:t>
      </w:r>
      <w:r w:rsidR="00881FEB">
        <w:rPr>
          <w:rFonts w:ascii="Arial" w:hAnsi="Arial" w:cs="Arial"/>
          <w:b/>
          <w:sz w:val="20"/>
          <w:szCs w:val="20"/>
        </w:rPr>
        <w:t>landscape</w:t>
      </w:r>
    </w:p>
    <w:sdt>
      <w:sdtPr>
        <w:rPr>
          <w:rFonts w:ascii="Arial" w:hAnsi="Arial" w:cs="Arial"/>
          <w:b/>
          <w:sz w:val="20"/>
          <w:szCs w:val="20"/>
        </w:rPr>
        <w:id w:val="1933319999"/>
        <w:placeholder>
          <w:docPart w:val="5DD4A1ED7E624F4D845F1BEA6527FCD1"/>
        </w:placeholder>
      </w:sdtPr>
      <w:sdtEndPr>
        <w:rPr>
          <w:b w:val="0"/>
        </w:rPr>
      </w:sdtEndPr>
      <w:sdtContent>
        <w:sdt>
          <w:sdtPr>
            <w:rPr>
              <w:rFonts w:ascii="Arial" w:hAnsi="Arial" w:cs="Arial"/>
              <w:b/>
              <w:sz w:val="20"/>
              <w:szCs w:val="20"/>
            </w:rPr>
            <w:id w:val="-372302731"/>
            <w:placeholder>
              <w:docPart w:val="3F3A06AE52B04077B9963DC432BC4C08"/>
            </w:placeholder>
          </w:sdtPr>
          <w:sdtEndPr>
            <w:rPr>
              <w:rFonts w:cstheme="minorBidi"/>
              <w:b w:val="0"/>
              <w:szCs w:val="22"/>
            </w:rPr>
          </w:sdtEndPr>
          <w:sdtContent>
            <w:p w14:paraId="59F2F314" w14:textId="77777777" w:rsidR="000E15FE" w:rsidRPr="000230E1" w:rsidRDefault="00F34420" w:rsidP="000230E1">
              <w:pPr>
                <w:jc w:val="both"/>
                <w:rPr>
                  <w:rFonts w:ascii="Arial" w:hAnsi="Arial" w:cs="Arial"/>
                  <w:b/>
                  <w:sz w:val="20"/>
                  <w:szCs w:val="20"/>
                </w:rPr>
              </w:pPr>
              <w:r w:rsidRPr="000230E1">
                <w:rPr>
                  <w:rFonts w:ascii="Arial" w:hAnsi="Arial" w:cs="Arial"/>
                  <w:b/>
                  <w:sz w:val="20"/>
                  <w:szCs w:val="20"/>
                </w:rPr>
                <w:t>2.1 Product Overview</w:t>
              </w:r>
            </w:p>
            <w:p w14:paraId="5864292B" w14:textId="77777777" w:rsidR="004F5A15" w:rsidRDefault="00501D3F" w:rsidP="000230E1">
              <w:pPr>
                <w:jc w:val="both"/>
                <w:rPr>
                  <w:rFonts w:ascii="Arial" w:hAnsi="Arial" w:cs="Arial"/>
                  <w:sz w:val="20"/>
                  <w:szCs w:val="20"/>
                </w:rPr>
              </w:pPr>
              <w:r w:rsidRPr="004F3001">
                <w:rPr>
                  <w:rFonts w:ascii="Arial" w:hAnsi="Arial" w:cs="Arial"/>
                  <w:sz w:val="20"/>
                  <w:szCs w:val="20"/>
                </w:rPr>
                <w:t xml:space="preserve">With-profits </w:t>
              </w:r>
              <w:r w:rsidR="004F5A15">
                <w:rPr>
                  <w:rFonts w:ascii="Arial" w:hAnsi="Arial" w:cs="Arial"/>
                  <w:sz w:val="20"/>
                  <w:szCs w:val="20"/>
                </w:rPr>
                <w:t>products are</w:t>
              </w:r>
              <w:r w:rsidRPr="004F3001">
                <w:rPr>
                  <w:rFonts w:ascii="Arial" w:hAnsi="Arial" w:cs="Arial"/>
                  <w:sz w:val="20"/>
                  <w:szCs w:val="20"/>
                </w:rPr>
                <w:t xml:space="preserve"> pooled insurance and savings products typically sold by insurance companies or mutual societies. They </w:t>
              </w:r>
              <w:r w:rsidR="00EF7358" w:rsidRPr="004F3001">
                <w:rPr>
                  <w:rFonts w:ascii="Arial" w:hAnsi="Arial" w:cs="Arial"/>
                  <w:sz w:val="20"/>
                  <w:szCs w:val="20"/>
                </w:rPr>
                <w:t>g</w:t>
              </w:r>
              <w:r w:rsidR="00EF7358">
                <w:rPr>
                  <w:rFonts w:ascii="Arial" w:hAnsi="Arial" w:cs="Arial"/>
                  <w:sz w:val="20"/>
                  <w:szCs w:val="20"/>
                </w:rPr>
                <w:t>i</w:t>
              </w:r>
              <w:r w:rsidR="00EF7358" w:rsidRPr="004F3001">
                <w:rPr>
                  <w:rFonts w:ascii="Arial" w:hAnsi="Arial" w:cs="Arial"/>
                  <w:sz w:val="20"/>
                  <w:szCs w:val="20"/>
                </w:rPr>
                <w:t xml:space="preserve">ve </w:t>
              </w:r>
              <w:r w:rsidRPr="004F3001">
                <w:rPr>
                  <w:rFonts w:ascii="Arial" w:hAnsi="Arial" w:cs="Arial"/>
                  <w:sz w:val="20"/>
                  <w:szCs w:val="20"/>
                </w:rPr>
                <w:t>individual customers the chance to share in the benefits of a diversified portfolio of investments</w:t>
              </w:r>
              <w:r w:rsidR="004F5A15">
                <w:rPr>
                  <w:rFonts w:ascii="Arial" w:hAnsi="Arial" w:cs="Arial"/>
                  <w:sz w:val="20"/>
                  <w:szCs w:val="20"/>
                </w:rPr>
                <w:t xml:space="preserve"> with these returns “smoothed” to reduce volatility and often with an underlying guarantee that the </w:t>
              </w:r>
              <w:proofErr w:type="spellStart"/>
              <w:r w:rsidR="004F5A15">
                <w:rPr>
                  <w:rFonts w:ascii="Arial" w:hAnsi="Arial" w:cs="Arial"/>
                  <w:sz w:val="20"/>
                  <w:szCs w:val="20"/>
                </w:rPr>
                <w:t>payout</w:t>
              </w:r>
              <w:proofErr w:type="spellEnd"/>
              <w:r w:rsidR="004F5A15">
                <w:rPr>
                  <w:rFonts w:ascii="Arial" w:hAnsi="Arial" w:cs="Arial"/>
                  <w:sz w:val="20"/>
                  <w:szCs w:val="20"/>
                </w:rPr>
                <w:t xml:space="preserve"> received when the benefits are taken at certain key events will not be lower than a defined amount. </w:t>
              </w:r>
              <w:r w:rsidRPr="004F3001">
                <w:rPr>
                  <w:rFonts w:ascii="Arial" w:hAnsi="Arial" w:cs="Arial"/>
                  <w:sz w:val="20"/>
                  <w:szCs w:val="20"/>
                </w:rPr>
                <w:t xml:space="preserve"> </w:t>
              </w:r>
            </w:p>
            <w:p w14:paraId="158C4DD6" w14:textId="77777777" w:rsidR="00501D3F" w:rsidRPr="004F3001" w:rsidRDefault="00501D3F" w:rsidP="000230E1">
              <w:pPr>
                <w:jc w:val="both"/>
                <w:rPr>
                  <w:rFonts w:ascii="Arial" w:hAnsi="Arial" w:cs="Arial"/>
                  <w:sz w:val="20"/>
                  <w:szCs w:val="20"/>
                </w:rPr>
              </w:pPr>
              <w:r w:rsidRPr="004F3001">
                <w:rPr>
                  <w:rFonts w:ascii="Arial" w:hAnsi="Arial" w:cs="Arial"/>
                  <w:sz w:val="20"/>
                  <w:szCs w:val="20"/>
                </w:rPr>
                <w:t xml:space="preserve">With-profits customers also share in the profits from the operation of the company or fund, such as mortality experience being </w:t>
              </w:r>
              <w:r>
                <w:rPr>
                  <w:rFonts w:ascii="Arial" w:hAnsi="Arial" w:cs="Arial"/>
                  <w:sz w:val="20"/>
                  <w:szCs w:val="20"/>
                </w:rPr>
                <w:t>better</w:t>
              </w:r>
              <w:r w:rsidRPr="004F3001">
                <w:rPr>
                  <w:rFonts w:ascii="Arial" w:hAnsi="Arial" w:cs="Arial"/>
                  <w:sz w:val="20"/>
                  <w:szCs w:val="20"/>
                </w:rPr>
                <w:t xml:space="preserve"> than expected, or the expenses incurred in running the company being lower than expected.</w:t>
              </w:r>
            </w:p>
            <w:p w14:paraId="4292BDD8" w14:textId="77777777" w:rsidR="004F5A15" w:rsidRDefault="00501D3F" w:rsidP="000230E1">
              <w:pPr>
                <w:jc w:val="both"/>
                <w:rPr>
                  <w:rFonts w:ascii="Arial" w:hAnsi="Arial" w:cs="Arial"/>
                  <w:sz w:val="20"/>
                  <w:szCs w:val="20"/>
                </w:rPr>
              </w:pPr>
              <w:r w:rsidRPr="004F3001">
                <w:rPr>
                  <w:rFonts w:ascii="Arial" w:hAnsi="Arial" w:cs="Arial"/>
                  <w:sz w:val="20"/>
                  <w:szCs w:val="20"/>
                </w:rPr>
                <w:t xml:space="preserve">These contracts </w:t>
              </w:r>
              <w:r w:rsidR="00EF7358">
                <w:rPr>
                  <w:rFonts w:ascii="Arial" w:hAnsi="Arial" w:cs="Arial"/>
                  <w:sz w:val="20"/>
                  <w:szCs w:val="20"/>
                </w:rPr>
                <w:t>a</w:t>
              </w:r>
              <w:r w:rsidR="00EF7358" w:rsidRPr="004F3001">
                <w:rPr>
                  <w:rFonts w:ascii="Arial" w:hAnsi="Arial" w:cs="Arial"/>
                  <w:sz w:val="20"/>
                  <w:szCs w:val="20"/>
                </w:rPr>
                <w:t xml:space="preserve">re </w:t>
              </w:r>
              <w:r w:rsidRPr="004F3001">
                <w:rPr>
                  <w:rFonts w:ascii="Arial" w:hAnsi="Arial" w:cs="Arial"/>
                  <w:sz w:val="20"/>
                  <w:szCs w:val="20"/>
                </w:rPr>
                <w:t xml:space="preserve">sometimes variations on other types of life assurance, giving the protection of a life assurance contract with the chance of higher returns from investment profits. With added downside protection (through minimum value guarantees), they </w:t>
              </w:r>
              <w:r w:rsidR="00EF7358">
                <w:rPr>
                  <w:rFonts w:ascii="Arial" w:hAnsi="Arial" w:cs="Arial"/>
                  <w:sz w:val="20"/>
                  <w:szCs w:val="20"/>
                </w:rPr>
                <w:t>a</w:t>
              </w:r>
              <w:r w:rsidR="00EF7358" w:rsidRPr="004F3001">
                <w:rPr>
                  <w:rFonts w:ascii="Arial" w:hAnsi="Arial" w:cs="Arial"/>
                  <w:sz w:val="20"/>
                  <w:szCs w:val="20"/>
                </w:rPr>
                <w:t xml:space="preserve">re </w:t>
              </w:r>
              <w:r w:rsidRPr="004F3001">
                <w:rPr>
                  <w:rFonts w:ascii="Arial" w:hAnsi="Arial" w:cs="Arial"/>
                  <w:sz w:val="20"/>
                  <w:szCs w:val="20"/>
                </w:rPr>
                <w:t>also a means of saving for retirement income, paying off interest-only mortgages or funding future school tuition fees. Original with-profits products were “conventional”</w:t>
              </w:r>
              <w:r>
                <w:rPr>
                  <w:rFonts w:ascii="Arial" w:hAnsi="Arial" w:cs="Arial"/>
                  <w:sz w:val="20"/>
                  <w:szCs w:val="20"/>
                </w:rPr>
                <w:t>,</w:t>
              </w:r>
              <w:r w:rsidRPr="004F3001">
                <w:rPr>
                  <w:rFonts w:ascii="Arial" w:hAnsi="Arial" w:cs="Arial"/>
                  <w:sz w:val="20"/>
                  <w:szCs w:val="20"/>
                </w:rPr>
                <w:t xml:space="preserve"> with a guaranteed minimum sum assured set up at the beginning with bonuses added throughout the lifetime of the policy. It </w:t>
              </w:r>
              <w:r w:rsidR="00EF7358">
                <w:rPr>
                  <w:rFonts w:ascii="Arial" w:hAnsi="Arial" w:cs="Arial"/>
                  <w:sz w:val="20"/>
                  <w:szCs w:val="20"/>
                </w:rPr>
                <w:t>is generally agreed that it may have been</w:t>
              </w:r>
              <w:r w:rsidR="00EF7358" w:rsidRPr="004F3001">
                <w:rPr>
                  <w:rFonts w:ascii="Arial" w:hAnsi="Arial" w:cs="Arial"/>
                  <w:sz w:val="20"/>
                  <w:szCs w:val="20"/>
                </w:rPr>
                <w:t xml:space="preserve"> </w:t>
              </w:r>
              <w:r w:rsidRPr="004F3001">
                <w:rPr>
                  <w:rFonts w:ascii="Arial" w:hAnsi="Arial" w:cs="Arial"/>
                  <w:sz w:val="20"/>
                  <w:szCs w:val="20"/>
                </w:rPr>
                <w:t xml:space="preserve">difficult for customers to understand how the value of their policy changed over time, or what level of charges they were paying for the contract. </w:t>
              </w:r>
            </w:p>
            <w:p w14:paraId="1289DCAA" w14:textId="77777777" w:rsidR="004F5A15" w:rsidRDefault="004F5A15" w:rsidP="000230E1">
              <w:pPr>
                <w:jc w:val="both"/>
                <w:rPr>
                  <w:rFonts w:ascii="Arial" w:hAnsi="Arial" w:cs="Arial"/>
                  <w:sz w:val="20"/>
                  <w:szCs w:val="20"/>
                </w:rPr>
              </w:pPr>
              <w:r>
                <w:rPr>
                  <w:rFonts w:ascii="Arial" w:hAnsi="Arial" w:cs="Arial"/>
                  <w:sz w:val="20"/>
                  <w:szCs w:val="20"/>
                </w:rPr>
                <w:t>A summary of the key features of traditional with-profits products can be found in the 2010 briefing note</w:t>
              </w:r>
              <w:r w:rsidR="004746B9">
                <w:rPr>
                  <w:rFonts w:ascii="Arial" w:hAnsi="Arial" w:cs="Arial"/>
                  <w:sz w:val="20"/>
                  <w:szCs w:val="20"/>
                </w:rPr>
                <w:t>, “With-Profits Policies”</w:t>
              </w:r>
              <w:r>
                <w:rPr>
                  <w:rFonts w:ascii="Arial" w:hAnsi="Arial" w:cs="Arial"/>
                  <w:sz w:val="20"/>
                  <w:szCs w:val="20"/>
                </w:rPr>
                <w:t xml:space="preserve"> produced by the Actuarial Profession</w:t>
              </w:r>
              <w:r w:rsidR="004746B9">
                <w:rPr>
                  <w:rStyle w:val="FootnoteReference"/>
                  <w:rFonts w:ascii="Arial" w:hAnsi="Arial" w:cs="Arial"/>
                  <w:sz w:val="20"/>
                  <w:szCs w:val="20"/>
                </w:rPr>
                <w:footnoteReference w:id="1"/>
              </w:r>
              <w:r w:rsidR="004746B9">
                <w:rPr>
                  <w:rFonts w:ascii="Arial" w:hAnsi="Arial" w:cs="Arial"/>
                  <w:sz w:val="20"/>
                  <w:szCs w:val="20"/>
                </w:rPr>
                <w:t>.</w:t>
              </w:r>
            </w:p>
            <w:p w14:paraId="4DE32D64" w14:textId="77777777" w:rsidR="004746B9" w:rsidRDefault="00130C31" w:rsidP="000230E1">
              <w:pPr>
                <w:jc w:val="both"/>
                <w:rPr>
                  <w:rFonts w:ascii="Arial" w:hAnsi="Arial" w:cs="Arial"/>
                  <w:sz w:val="20"/>
                  <w:szCs w:val="20"/>
                </w:rPr>
              </w:pPr>
              <w:r w:rsidRPr="000230E1">
                <w:rPr>
                  <w:rFonts w:ascii="Arial" w:hAnsi="Arial" w:cs="Arial"/>
                  <w:sz w:val="20"/>
                  <w:szCs w:val="20"/>
                </w:rPr>
                <w:t>W</w:t>
              </w:r>
              <w:r w:rsidR="00F34420" w:rsidRPr="00130C31">
                <w:rPr>
                  <w:rFonts w:ascii="Arial" w:hAnsi="Arial" w:cs="Arial"/>
                  <w:sz w:val="20"/>
                  <w:szCs w:val="20"/>
                </w:rPr>
                <w:t xml:space="preserve">ith-profits products were extremely popular through the 1980’s </w:t>
              </w:r>
              <w:r w:rsidRPr="000230E1">
                <w:rPr>
                  <w:rFonts w:ascii="Arial" w:hAnsi="Arial" w:cs="Arial"/>
                  <w:sz w:val="20"/>
                  <w:szCs w:val="20"/>
                </w:rPr>
                <w:t>and early 1990’s, but sales fell dramatically from the late 1990’s into the 2000’s.</w:t>
              </w:r>
              <w:r>
                <w:rPr>
                  <w:rStyle w:val="FootnoteReference"/>
                  <w:rFonts w:ascii="Arial" w:hAnsi="Arial" w:cs="Arial"/>
                  <w:sz w:val="20"/>
                  <w:szCs w:val="20"/>
                </w:rPr>
                <w:footnoteReference w:id="2"/>
              </w:r>
            </w:p>
            <w:p w14:paraId="1F5121AF" w14:textId="77777777" w:rsidR="00FD50B1" w:rsidRDefault="00501D3F" w:rsidP="000230E1">
              <w:pPr>
                <w:jc w:val="both"/>
                <w:rPr>
                  <w:rFonts w:ascii="Arial" w:hAnsi="Arial" w:cs="Arial"/>
                  <w:sz w:val="20"/>
                  <w:szCs w:val="20"/>
                </w:rPr>
              </w:pPr>
              <w:r w:rsidRPr="004F3001">
                <w:rPr>
                  <w:rFonts w:ascii="Arial" w:hAnsi="Arial" w:cs="Arial"/>
                  <w:sz w:val="20"/>
                  <w:szCs w:val="20"/>
                </w:rPr>
                <w:t xml:space="preserve">Unitised with-profits </w:t>
              </w:r>
              <w:r w:rsidR="00984271">
                <w:rPr>
                  <w:rFonts w:ascii="Arial" w:hAnsi="Arial" w:cs="Arial"/>
                  <w:sz w:val="20"/>
                  <w:szCs w:val="20"/>
                </w:rPr>
                <w:t>offer</w:t>
              </w:r>
              <w:r w:rsidR="004746B9">
                <w:rPr>
                  <w:rFonts w:ascii="Arial" w:hAnsi="Arial" w:cs="Arial"/>
                  <w:sz w:val="20"/>
                  <w:szCs w:val="20"/>
                </w:rPr>
                <w:t xml:space="preserve"> </w:t>
              </w:r>
              <w:r w:rsidRPr="004F3001">
                <w:rPr>
                  <w:rFonts w:ascii="Arial" w:hAnsi="Arial" w:cs="Arial"/>
                  <w:sz w:val="20"/>
                  <w:szCs w:val="20"/>
                </w:rPr>
                <w:t xml:space="preserve">a more transparent arrangement, where customers </w:t>
              </w:r>
              <w:r w:rsidR="00984271">
                <w:rPr>
                  <w:rFonts w:ascii="Arial" w:hAnsi="Arial" w:cs="Arial"/>
                  <w:sz w:val="20"/>
                  <w:szCs w:val="20"/>
                </w:rPr>
                <w:t>can</w:t>
              </w:r>
              <w:r w:rsidR="00984271" w:rsidRPr="004F3001">
                <w:rPr>
                  <w:rFonts w:ascii="Arial" w:hAnsi="Arial" w:cs="Arial"/>
                  <w:sz w:val="20"/>
                  <w:szCs w:val="20"/>
                </w:rPr>
                <w:t xml:space="preserve"> </w:t>
              </w:r>
              <w:r w:rsidRPr="004F3001">
                <w:rPr>
                  <w:rFonts w:ascii="Arial" w:hAnsi="Arial" w:cs="Arial"/>
                  <w:sz w:val="20"/>
                  <w:szCs w:val="20"/>
                </w:rPr>
                <w:t xml:space="preserve">see how many units they own, what the value of those units </w:t>
              </w:r>
              <w:r w:rsidR="00984271">
                <w:rPr>
                  <w:rFonts w:ascii="Arial" w:hAnsi="Arial" w:cs="Arial"/>
                  <w:sz w:val="20"/>
                  <w:szCs w:val="20"/>
                </w:rPr>
                <w:t>is</w:t>
              </w:r>
              <w:r w:rsidR="00984271" w:rsidRPr="004F3001">
                <w:rPr>
                  <w:rFonts w:ascii="Arial" w:hAnsi="Arial" w:cs="Arial"/>
                  <w:sz w:val="20"/>
                  <w:szCs w:val="20"/>
                </w:rPr>
                <w:t xml:space="preserve"> </w:t>
              </w:r>
              <w:r w:rsidRPr="004F3001">
                <w:rPr>
                  <w:rFonts w:ascii="Arial" w:hAnsi="Arial" w:cs="Arial"/>
                  <w:sz w:val="20"/>
                  <w:szCs w:val="20"/>
                </w:rPr>
                <w:t xml:space="preserve">and what charges </w:t>
              </w:r>
              <w:r w:rsidR="00984271">
                <w:rPr>
                  <w:rFonts w:ascii="Arial" w:hAnsi="Arial" w:cs="Arial"/>
                  <w:sz w:val="20"/>
                  <w:szCs w:val="20"/>
                </w:rPr>
                <w:t>are</w:t>
              </w:r>
              <w:r w:rsidR="00984271" w:rsidRPr="004F3001">
                <w:rPr>
                  <w:rFonts w:ascii="Arial" w:hAnsi="Arial" w:cs="Arial"/>
                  <w:sz w:val="20"/>
                  <w:szCs w:val="20"/>
                </w:rPr>
                <w:t xml:space="preserve"> </w:t>
              </w:r>
              <w:r w:rsidRPr="004F3001">
                <w:rPr>
                  <w:rFonts w:ascii="Arial" w:hAnsi="Arial" w:cs="Arial"/>
                  <w:sz w:val="20"/>
                  <w:szCs w:val="20"/>
                </w:rPr>
                <w:t xml:space="preserve">taken from their fund. However, </w:t>
              </w:r>
              <w:r w:rsidR="00984271">
                <w:rPr>
                  <w:rFonts w:ascii="Arial" w:hAnsi="Arial" w:cs="Arial"/>
                  <w:sz w:val="20"/>
                  <w:szCs w:val="20"/>
                </w:rPr>
                <w:t xml:space="preserve">there remains discretion with unitised products, relating to smoothing and </w:t>
              </w:r>
              <w:r w:rsidRPr="004F3001">
                <w:rPr>
                  <w:rFonts w:ascii="Arial" w:hAnsi="Arial" w:cs="Arial"/>
                  <w:sz w:val="20"/>
                  <w:szCs w:val="20"/>
                </w:rPr>
                <w:t xml:space="preserve">the setting of bonus rates </w:t>
              </w:r>
              <w:r w:rsidR="00984271">
                <w:rPr>
                  <w:rFonts w:ascii="Arial" w:hAnsi="Arial" w:cs="Arial"/>
                  <w:sz w:val="20"/>
                  <w:szCs w:val="20"/>
                </w:rPr>
                <w:t xml:space="preserve">in particular.  </w:t>
              </w:r>
            </w:p>
            <w:p w14:paraId="0685ED93" w14:textId="77777777" w:rsidR="0063143C" w:rsidRDefault="00BE514F" w:rsidP="000230E1">
              <w:pPr>
                <w:jc w:val="both"/>
                <w:rPr>
                  <w:rFonts w:ascii="Arial" w:hAnsi="Arial" w:cs="Arial"/>
                  <w:sz w:val="20"/>
                  <w:szCs w:val="20"/>
                </w:rPr>
              </w:pPr>
              <w:r>
                <w:rPr>
                  <w:rFonts w:ascii="Arial" w:hAnsi="Arial" w:cs="Arial"/>
                  <w:sz w:val="20"/>
                  <w:szCs w:val="20"/>
                </w:rPr>
                <w:t>W</w:t>
              </w:r>
              <w:r w:rsidR="00984271">
                <w:rPr>
                  <w:rFonts w:ascii="Arial" w:hAnsi="Arial" w:cs="Arial"/>
                  <w:sz w:val="20"/>
                  <w:szCs w:val="20"/>
                </w:rPr>
                <w:t>hilst unitised business has become the standard format for new business,</w:t>
              </w:r>
              <w:r w:rsidR="00FD50B1">
                <w:rPr>
                  <w:rFonts w:ascii="Arial" w:hAnsi="Arial" w:cs="Arial"/>
                  <w:sz w:val="20"/>
                  <w:szCs w:val="20"/>
                </w:rPr>
                <w:t xml:space="preserve"> there remained (and still remains) significant amounts of money invested in conventional with profits and therefore concerns about transparency of the operation of with profits funds persisted.</w:t>
              </w:r>
              <w:r w:rsidR="00501D3F" w:rsidRPr="004F3001">
                <w:rPr>
                  <w:rFonts w:ascii="Arial" w:hAnsi="Arial" w:cs="Arial"/>
                  <w:sz w:val="20"/>
                  <w:szCs w:val="20"/>
                </w:rPr>
                <w:t xml:space="preserve"> </w:t>
              </w:r>
              <w:r w:rsidR="00EF7358">
                <w:rPr>
                  <w:rFonts w:ascii="Arial" w:hAnsi="Arial" w:cs="Arial"/>
                  <w:sz w:val="20"/>
                  <w:szCs w:val="20"/>
                </w:rPr>
                <w:t xml:space="preserve"> </w:t>
              </w:r>
            </w:p>
            <w:p w14:paraId="5AF7E051" w14:textId="77777777" w:rsidR="000E15FE" w:rsidRPr="000230E1" w:rsidRDefault="00F34420" w:rsidP="000230E1">
              <w:pPr>
                <w:jc w:val="both"/>
                <w:rPr>
                  <w:rFonts w:ascii="Arial" w:hAnsi="Arial" w:cs="Arial"/>
                  <w:b/>
                  <w:sz w:val="20"/>
                  <w:szCs w:val="20"/>
                </w:rPr>
              </w:pPr>
              <w:r w:rsidRPr="000230E1">
                <w:rPr>
                  <w:rFonts w:ascii="Arial" w:hAnsi="Arial" w:cs="Arial"/>
                  <w:b/>
                  <w:sz w:val="20"/>
                  <w:szCs w:val="20"/>
                </w:rPr>
                <w:t>2.2 Regulatory Environment</w:t>
              </w:r>
            </w:p>
            <w:p w14:paraId="72655AF0" w14:textId="77777777" w:rsidR="00501D3F" w:rsidRDefault="00F34420" w:rsidP="000230E1">
              <w:pPr>
                <w:jc w:val="both"/>
                <w:rPr>
                  <w:rFonts w:ascii="Arial" w:hAnsi="Arial" w:cs="Arial"/>
                  <w:sz w:val="20"/>
                  <w:szCs w:val="20"/>
                </w:rPr>
              </w:pPr>
              <w:r w:rsidRPr="000230E1">
                <w:rPr>
                  <w:rFonts w:ascii="Arial" w:hAnsi="Arial" w:cs="Arial"/>
                  <w:sz w:val="20"/>
                  <w:szCs w:val="20"/>
                </w:rPr>
                <w:t>In response to such concerns</w:t>
              </w:r>
              <w:r w:rsidR="000E15FE">
                <w:rPr>
                  <w:rFonts w:ascii="Arial" w:hAnsi="Arial" w:cs="Arial"/>
                  <w:sz w:val="20"/>
                  <w:szCs w:val="20"/>
                </w:rPr>
                <w:t xml:space="preserve"> regarding transparency</w:t>
              </w:r>
              <w:r w:rsidRPr="000230E1">
                <w:rPr>
                  <w:rFonts w:ascii="Arial" w:hAnsi="Arial" w:cs="Arial"/>
                  <w:sz w:val="20"/>
                  <w:szCs w:val="20"/>
                </w:rPr>
                <w:t>, the FSA implemented a new regulatory regime for the with-profits sector</w:t>
              </w:r>
              <w:r w:rsidR="004746B9">
                <w:rPr>
                  <w:rStyle w:val="FootnoteReference"/>
                  <w:rFonts w:ascii="Arial" w:hAnsi="Arial" w:cs="Arial"/>
                  <w:sz w:val="20"/>
                  <w:szCs w:val="20"/>
                </w:rPr>
                <w:footnoteReference w:id="3"/>
              </w:r>
              <w:r w:rsidRPr="000230E1">
                <w:rPr>
                  <w:rFonts w:ascii="Arial" w:hAnsi="Arial" w:cs="Arial"/>
                  <w:sz w:val="20"/>
                  <w:szCs w:val="20"/>
                </w:rPr>
                <w:t>, with the overall objective of achieving greater protection of policyholders.</w:t>
              </w:r>
              <w:r w:rsidR="004746B9">
                <w:rPr>
                  <w:rFonts w:ascii="Arial" w:hAnsi="Arial" w:cs="Arial"/>
                  <w:sz w:val="20"/>
                  <w:szCs w:val="20"/>
                </w:rPr>
                <w:t xml:space="preserve">  </w:t>
              </w:r>
              <w:r w:rsidR="00FD50B1">
                <w:rPr>
                  <w:rFonts w:ascii="Arial" w:hAnsi="Arial" w:cs="Arial"/>
                  <w:sz w:val="20"/>
                  <w:szCs w:val="20"/>
                </w:rPr>
                <w:t xml:space="preserve">As a result of this review, </w:t>
              </w:r>
              <w:r w:rsidR="00EF7358">
                <w:rPr>
                  <w:rFonts w:ascii="Arial" w:hAnsi="Arial" w:cs="Arial"/>
                  <w:sz w:val="20"/>
                  <w:szCs w:val="20"/>
                </w:rPr>
                <w:t xml:space="preserve">a number of documents became a regulatory requirement (including but not limited to the Principles and Practices of Financial Management (“PPFM”) and </w:t>
              </w:r>
              <w:r w:rsidR="0063143C">
                <w:rPr>
                  <w:rFonts w:ascii="Arial" w:hAnsi="Arial" w:cs="Arial"/>
                  <w:sz w:val="20"/>
                  <w:szCs w:val="20"/>
                </w:rPr>
                <w:t>a</w:t>
              </w:r>
              <w:r w:rsidR="00EF7358">
                <w:rPr>
                  <w:rFonts w:ascii="Arial" w:hAnsi="Arial" w:cs="Arial"/>
                  <w:sz w:val="20"/>
                  <w:szCs w:val="20"/>
                </w:rPr>
                <w:t xml:space="preserve"> Consumer</w:t>
              </w:r>
              <w:r w:rsidR="0063143C">
                <w:rPr>
                  <w:rFonts w:ascii="Arial" w:hAnsi="Arial" w:cs="Arial"/>
                  <w:sz w:val="20"/>
                  <w:szCs w:val="20"/>
                </w:rPr>
                <w:t>-</w:t>
              </w:r>
              <w:r w:rsidR="00EF7358">
                <w:rPr>
                  <w:rFonts w:ascii="Arial" w:hAnsi="Arial" w:cs="Arial"/>
                  <w:sz w:val="20"/>
                  <w:szCs w:val="20"/>
                </w:rPr>
                <w:t>Friendly version “CFPPFM”), though as the contents of these was heavily prescribed, there is still a danger that they are not well understood by customers on the whole.</w:t>
              </w:r>
            </w:p>
            <w:p w14:paraId="355EAF63" w14:textId="77777777" w:rsidR="008351A8" w:rsidRDefault="008351A8" w:rsidP="000230E1">
              <w:pPr>
                <w:jc w:val="both"/>
                <w:rPr>
                  <w:rFonts w:ascii="Arial" w:hAnsi="Arial" w:cs="Arial"/>
                  <w:sz w:val="20"/>
                  <w:szCs w:val="20"/>
                </w:rPr>
              </w:pPr>
              <w:r>
                <w:rPr>
                  <w:rFonts w:ascii="Arial" w:hAnsi="Arial" w:cs="Arial"/>
                  <w:sz w:val="20"/>
                  <w:szCs w:val="20"/>
                </w:rPr>
                <w:t>As well as these documents, a number of regulatory frameworks and disclosures were implemented, including, but not limited to:</w:t>
              </w:r>
            </w:p>
            <w:p w14:paraId="0C7B28BB" w14:textId="77777777" w:rsidR="00130C31" w:rsidRDefault="008351A8" w:rsidP="000230E1">
              <w:pPr>
                <w:pStyle w:val="ListParagraph"/>
                <w:numPr>
                  <w:ilvl w:val="0"/>
                  <w:numId w:val="18"/>
                </w:numPr>
                <w:jc w:val="both"/>
                <w:rPr>
                  <w:rFonts w:cs="Arial"/>
                  <w:szCs w:val="20"/>
                </w:rPr>
              </w:pPr>
              <w:r>
                <w:rPr>
                  <w:rFonts w:cs="Arial"/>
                  <w:szCs w:val="20"/>
                </w:rPr>
                <w:t>The realistic balance sheet – accounting for the volatility in future liability values</w:t>
              </w:r>
            </w:p>
            <w:p w14:paraId="6BD65783" w14:textId="77777777" w:rsidR="00130C31" w:rsidRDefault="008351A8" w:rsidP="000230E1">
              <w:pPr>
                <w:pStyle w:val="ListParagraph"/>
                <w:numPr>
                  <w:ilvl w:val="0"/>
                  <w:numId w:val="18"/>
                </w:numPr>
                <w:jc w:val="both"/>
                <w:rPr>
                  <w:rFonts w:cs="Arial"/>
                  <w:szCs w:val="20"/>
                </w:rPr>
              </w:pPr>
              <w:r>
                <w:rPr>
                  <w:rFonts w:cs="Arial"/>
                  <w:szCs w:val="20"/>
                </w:rPr>
                <w:t>Treating Customers Fairly – ensuring fair treatment of all customers</w:t>
              </w:r>
            </w:p>
            <w:p w14:paraId="18E824AB" w14:textId="77777777" w:rsidR="00130C31" w:rsidRDefault="008351A8" w:rsidP="000230E1">
              <w:pPr>
                <w:pStyle w:val="ListParagraph"/>
                <w:numPr>
                  <w:ilvl w:val="0"/>
                  <w:numId w:val="18"/>
                </w:numPr>
                <w:jc w:val="both"/>
                <w:rPr>
                  <w:rFonts w:cs="Arial"/>
                  <w:szCs w:val="20"/>
                </w:rPr>
              </w:pPr>
              <w:r>
                <w:rPr>
                  <w:rFonts w:cs="Arial"/>
                  <w:szCs w:val="20"/>
                </w:rPr>
                <w:t>Conduct of Business Sourcebook</w:t>
              </w:r>
              <w:r w:rsidR="00072866">
                <w:rPr>
                  <w:rFonts w:cs="Arial"/>
                  <w:szCs w:val="20"/>
                </w:rPr>
                <w:t xml:space="preserve"> – a framework of standards and practices to be followed</w:t>
              </w:r>
            </w:p>
            <w:p w14:paraId="1CD37323" w14:textId="77777777" w:rsidR="00130C31" w:rsidRDefault="00DA62CD" w:rsidP="000230E1">
              <w:pPr>
                <w:pStyle w:val="ListParagraph"/>
                <w:numPr>
                  <w:ilvl w:val="0"/>
                  <w:numId w:val="18"/>
                </w:numPr>
                <w:jc w:val="both"/>
                <w:rPr>
                  <w:rFonts w:cs="Arial"/>
                  <w:szCs w:val="20"/>
                </w:rPr>
              </w:pPr>
              <w:r>
                <w:rPr>
                  <w:rFonts w:cs="Arial"/>
                  <w:szCs w:val="20"/>
                </w:rPr>
                <w:t>Annual reports to policyholders on the exercise of discretion</w:t>
              </w:r>
            </w:p>
            <w:p w14:paraId="76F4D656" w14:textId="77777777" w:rsidR="00130C31" w:rsidRDefault="00DA62CD" w:rsidP="000230E1">
              <w:pPr>
                <w:pStyle w:val="ListParagraph"/>
                <w:numPr>
                  <w:ilvl w:val="0"/>
                  <w:numId w:val="18"/>
                </w:numPr>
                <w:jc w:val="both"/>
                <w:rPr>
                  <w:rFonts w:cs="Arial"/>
                  <w:szCs w:val="20"/>
                </w:rPr>
              </w:pPr>
              <w:r>
                <w:rPr>
                  <w:rFonts w:cs="Arial"/>
                  <w:szCs w:val="20"/>
                </w:rPr>
                <w:t>Regulatory returns (sample payout values, investment returns etc)</w:t>
              </w:r>
            </w:p>
            <w:p w14:paraId="29CF8C2B" w14:textId="77777777" w:rsidR="00130C31" w:rsidRDefault="00DA62CD" w:rsidP="000230E1">
              <w:pPr>
                <w:pStyle w:val="ListParagraph"/>
                <w:numPr>
                  <w:ilvl w:val="0"/>
                  <w:numId w:val="18"/>
                </w:numPr>
                <w:jc w:val="both"/>
                <w:rPr>
                  <w:rFonts w:cs="Arial"/>
                  <w:szCs w:val="20"/>
                </w:rPr>
              </w:pPr>
              <w:r>
                <w:rPr>
                  <w:rFonts w:cs="Arial"/>
                  <w:szCs w:val="20"/>
                </w:rPr>
                <w:t>Annual statements and illustrations</w:t>
              </w:r>
            </w:p>
            <w:p w14:paraId="1A4108E4" w14:textId="77777777" w:rsidR="008351A8" w:rsidRDefault="008351A8" w:rsidP="000230E1">
              <w:pPr>
                <w:jc w:val="both"/>
                <w:rPr>
                  <w:rFonts w:ascii="Arial" w:hAnsi="Arial" w:cs="Arial"/>
                  <w:sz w:val="20"/>
                  <w:szCs w:val="20"/>
                </w:rPr>
              </w:pPr>
            </w:p>
            <w:p w14:paraId="4BFEE04E" w14:textId="77777777" w:rsidR="00501D3F" w:rsidRDefault="00501D3F" w:rsidP="000230E1">
              <w:pPr>
                <w:jc w:val="both"/>
                <w:rPr>
                  <w:rFonts w:ascii="Arial" w:hAnsi="Arial" w:cs="Arial"/>
                  <w:sz w:val="20"/>
                  <w:szCs w:val="20"/>
                </w:rPr>
              </w:pPr>
              <w:r w:rsidRPr="004F3001">
                <w:rPr>
                  <w:rFonts w:ascii="Arial" w:hAnsi="Arial" w:cs="Arial"/>
                  <w:sz w:val="20"/>
                  <w:szCs w:val="20"/>
                </w:rPr>
                <w:t xml:space="preserve">Over time, a number of large providers of these contracts </w:t>
              </w:r>
              <w:r w:rsidR="00EF7358">
                <w:rPr>
                  <w:rFonts w:ascii="Arial" w:hAnsi="Arial" w:cs="Arial"/>
                  <w:sz w:val="20"/>
                  <w:szCs w:val="20"/>
                </w:rPr>
                <w:t>changed from being</w:t>
              </w:r>
              <w:r w:rsidRPr="004F3001">
                <w:rPr>
                  <w:rFonts w:ascii="Arial" w:hAnsi="Arial" w:cs="Arial"/>
                  <w:sz w:val="20"/>
                  <w:szCs w:val="20"/>
                </w:rPr>
                <w:t xml:space="preserve"> mutual companies (owned by their </w:t>
              </w:r>
              <w:r w:rsidR="00EF7358">
                <w:rPr>
                  <w:rFonts w:ascii="Arial" w:hAnsi="Arial" w:cs="Arial"/>
                  <w:sz w:val="20"/>
                  <w:szCs w:val="20"/>
                </w:rPr>
                <w:t xml:space="preserve">with-profits </w:t>
              </w:r>
              <w:r w:rsidRPr="004F3001">
                <w:rPr>
                  <w:rFonts w:ascii="Arial" w:hAnsi="Arial" w:cs="Arial"/>
                  <w:sz w:val="20"/>
                  <w:szCs w:val="20"/>
                </w:rPr>
                <w:t>customers)</w:t>
              </w:r>
              <w:r w:rsidR="00EF7358">
                <w:rPr>
                  <w:rFonts w:ascii="Arial" w:hAnsi="Arial" w:cs="Arial"/>
                  <w:sz w:val="20"/>
                  <w:szCs w:val="20"/>
                </w:rPr>
                <w:t xml:space="preserve"> to proprietary companies (owned by shareholders or another company)</w:t>
              </w:r>
              <w:r w:rsidRPr="004F3001">
                <w:rPr>
                  <w:rFonts w:ascii="Arial" w:hAnsi="Arial" w:cs="Arial"/>
                  <w:sz w:val="20"/>
                  <w:szCs w:val="20"/>
                </w:rPr>
                <w:t xml:space="preserve">. In so doing, they had to define </w:t>
              </w:r>
              <w:r w:rsidR="00EF7358">
                <w:rPr>
                  <w:rFonts w:ascii="Arial" w:hAnsi="Arial" w:cs="Arial"/>
                  <w:sz w:val="20"/>
                  <w:szCs w:val="20"/>
                </w:rPr>
                <w:t>which</w:t>
              </w:r>
              <w:r w:rsidRPr="004F3001">
                <w:rPr>
                  <w:rFonts w:ascii="Arial" w:hAnsi="Arial" w:cs="Arial"/>
                  <w:sz w:val="20"/>
                  <w:szCs w:val="20"/>
                </w:rPr>
                <w:t xml:space="preserve"> profits would be passed to customers in future</w:t>
              </w:r>
              <w:r>
                <w:rPr>
                  <w:rFonts w:ascii="Arial" w:hAnsi="Arial" w:cs="Arial"/>
                  <w:sz w:val="20"/>
                  <w:szCs w:val="20"/>
                </w:rPr>
                <w:t>,</w:t>
              </w:r>
              <w:r w:rsidRPr="004F3001">
                <w:rPr>
                  <w:rFonts w:ascii="Arial" w:hAnsi="Arial" w:cs="Arial"/>
                  <w:sz w:val="20"/>
                  <w:szCs w:val="20"/>
                </w:rPr>
                <w:t xml:space="preserve"> </w:t>
              </w:r>
              <w:r w:rsidR="00EF7358">
                <w:rPr>
                  <w:rFonts w:ascii="Arial" w:hAnsi="Arial" w:cs="Arial"/>
                  <w:sz w:val="20"/>
                  <w:szCs w:val="20"/>
                </w:rPr>
                <w:t xml:space="preserve">how and when this would be done </w:t>
              </w:r>
              <w:r w:rsidRPr="004F3001">
                <w:rPr>
                  <w:rFonts w:ascii="Arial" w:hAnsi="Arial" w:cs="Arial"/>
                  <w:sz w:val="20"/>
                  <w:szCs w:val="20"/>
                </w:rPr>
                <w:t xml:space="preserve">and how customers would be compensated for </w:t>
              </w:r>
              <w:r w:rsidR="0063143C">
                <w:rPr>
                  <w:rFonts w:ascii="Arial" w:hAnsi="Arial" w:cs="Arial"/>
                  <w:sz w:val="20"/>
                  <w:szCs w:val="20"/>
                </w:rPr>
                <w:t>the</w:t>
              </w:r>
              <w:r w:rsidR="0063143C" w:rsidRPr="004F3001">
                <w:rPr>
                  <w:rFonts w:ascii="Arial" w:hAnsi="Arial" w:cs="Arial"/>
                  <w:sz w:val="20"/>
                  <w:szCs w:val="20"/>
                </w:rPr>
                <w:t xml:space="preserve"> </w:t>
              </w:r>
              <w:r w:rsidRPr="004F3001">
                <w:rPr>
                  <w:rFonts w:ascii="Arial" w:hAnsi="Arial" w:cs="Arial"/>
                  <w:sz w:val="20"/>
                  <w:szCs w:val="20"/>
                </w:rPr>
                <w:t xml:space="preserve">loss of </w:t>
              </w:r>
              <w:r w:rsidR="0063143C">
                <w:rPr>
                  <w:rFonts w:ascii="Arial" w:hAnsi="Arial" w:cs="Arial"/>
                  <w:sz w:val="20"/>
                  <w:szCs w:val="20"/>
                </w:rPr>
                <w:t xml:space="preserve">any </w:t>
              </w:r>
              <w:r w:rsidRPr="004F3001">
                <w:rPr>
                  <w:rFonts w:ascii="Arial" w:hAnsi="Arial" w:cs="Arial"/>
                  <w:sz w:val="20"/>
                  <w:szCs w:val="20"/>
                </w:rPr>
                <w:t>potential future profits</w:t>
              </w:r>
              <w:r w:rsidR="0063143C">
                <w:rPr>
                  <w:rFonts w:ascii="Arial" w:hAnsi="Arial" w:cs="Arial"/>
                  <w:sz w:val="20"/>
                  <w:szCs w:val="20"/>
                </w:rPr>
                <w:t xml:space="preserve"> they were no longer entitled to</w:t>
              </w:r>
              <w:r w:rsidRPr="004F3001">
                <w:rPr>
                  <w:rFonts w:ascii="Arial" w:hAnsi="Arial" w:cs="Arial"/>
                  <w:sz w:val="20"/>
                  <w:szCs w:val="20"/>
                </w:rPr>
                <w:t xml:space="preserve">.  </w:t>
              </w:r>
            </w:p>
            <w:p w14:paraId="0BEFE323" w14:textId="77777777" w:rsidR="0063143C" w:rsidRPr="004F3001" w:rsidRDefault="0063143C" w:rsidP="000230E1">
              <w:pPr>
                <w:jc w:val="both"/>
                <w:rPr>
                  <w:rFonts w:ascii="Arial" w:hAnsi="Arial" w:cs="Arial"/>
                  <w:sz w:val="20"/>
                  <w:szCs w:val="20"/>
                </w:rPr>
              </w:pPr>
              <w:r>
                <w:rPr>
                  <w:rFonts w:ascii="Arial" w:hAnsi="Arial" w:cs="Arial"/>
                  <w:sz w:val="20"/>
                  <w:szCs w:val="20"/>
                </w:rPr>
                <w:t xml:space="preserve">A number of large with-profits funds have also closed to new business, meaning the funds are in run-off.  This could change the way the funds are administered as they should then be considering how to fairly run off the expected profits and avoid a </w:t>
              </w:r>
              <w:r w:rsidR="00FD50B1">
                <w:rPr>
                  <w:rFonts w:ascii="Arial" w:hAnsi="Arial" w:cs="Arial"/>
                  <w:sz w:val="20"/>
                  <w:szCs w:val="20"/>
                </w:rPr>
                <w:t>“</w:t>
              </w:r>
              <w:r>
                <w:rPr>
                  <w:rFonts w:ascii="Arial" w:hAnsi="Arial" w:cs="Arial"/>
                  <w:sz w:val="20"/>
                  <w:szCs w:val="20"/>
                </w:rPr>
                <w:t>tontine</w:t>
              </w:r>
              <w:r w:rsidR="00FD50B1">
                <w:rPr>
                  <w:rFonts w:ascii="Arial" w:hAnsi="Arial" w:cs="Arial"/>
                  <w:sz w:val="20"/>
                  <w:szCs w:val="20"/>
                </w:rPr>
                <w:t>”</w:t>
              </w:r>
              <w:r>
                <w:rPr>
                  <w:rFonts w:ascii="Arial" w:hAnsi="Arial" w:cs="Arial"/>
                  <w:sz w:val="20"/>
                  <w:szCs w:val="20"/>
                </w:rPr>
                <w:t xml:space="preserve"> effect</w:t>
              </w:r>
              <w:r w:rsidR="00FD50B1">
                <w:rPr>
                  <w:rStyle w:val="FootnoteReference"/>
                  <w:rFonts w:ascii="Arial" w:hAnsi="Arial" w:cs="Arial"/>
                  <w:sz w:val="20"/>
                  <w:szCs w:val="20"/>
                </w:rPr>
                <w:footnoteReference w:id="4"/>
              </w:r>
              <w:r>
                <w:rPr>
                  <w:rFonts w:ascii="Arial" w:hAnsi="Arial" w:cs="Arial"/>
                  <w:sz w:val="20"/>
                  <w:szCs w:val="20"/>
                </w:rPr>
                <w:t>.</w:t>
              </w:r>
            </w:p>
            <w:p w14:paraId="0CE95E2E" w14:textId="77777777" w:rsidR="00600F72" w:rsidRPr="000230E1" w:rsidRDefault="00600F72" w:rsidP="000230E1">
              <w:pPr>
                <w:jc w:val="both"/>
                <w:rPr>
                  <w:rFonts w:ascii="Arial" w:hAnsi="Arial" w:cs="Arial"/>
                  <w:sz w:val="20"/>
                  <w:szCs w:val="20"/>
                </w:rPr>
              </w:pPr>
              <w:r w:rsidRPr="000230E1">
                <w:rPr>
                  <w:rFonts w:ascii="Arial" w:hAnsi="Arial" w:cs="Arial"/>
                  <w:sz w:val="20"/>
                  <w:szCs w:val="20"/>
                </w:rPr>
                <w:t>In 2016, the requirements for a Consumer Friendly PPFM were removed</w:t>
              </w:r>
              <w:r w:rsidRPr="000230E1">
                <w:rPr>
                  <w:rStyle w:val="FootnoteReference"/>
                  <w:rFonts w:ascii="Arial" w:hAnsi="Arial" w:cs="Arial"/>
                  <w:sz w:val="20"/>
                  <w:szCs w:val="20"/>
                </w:rPr>
                <w:footnoteReference w:id="5"/>
              </w:r>
              <w:r>
                <w:rPr>
                  <w:rFonts w:ascii="Arial" w:hAnsi="Arial" w:cs="Arial"/>
                  <w:sz w:val="20"/>
                  <w:szCs w:val="20"/>
                </w:rPr>
                <w:t>.</w:t>
              </w:r>
            </w:p>
            <w:p w14:paraId="6FCEC17B" w14:textId="77777777" w:rsidR="00FD50B1" w:rsidRPr="00600F72" w:rsidRDefault="00600F72" w:rsidP="000230E1">
              <w:pPr>
                <w:jc w:val="both"/>
                <w:rPr>
                  <w:rFonts w:ascii="Arial" w:hAnsi="Arial" w:cs="Arial"/>
                  <w:sz w:val="20"/>
                  <w:szCs w:val="20"/>
                </w:rPr>
              </w:pPr>
              <w:r>
                <w:rPr>
                  <w:rFonts w:ascii="Arial" w:hAnsi="Arial" w:cs="Arial"/>
                  <w:sz w:val="20"/>
                  <w:szCs w:val="20"/>
                </w:rPr>
                <w:t xml:space="preserve">Also in 2016, </w:t>
              </w:r>
              <w:r w:rsidR="00F34420" w:rsidRPr="00600F72">
                <w:rPr>
                  <w:rFonts w:ascii="Arial" w:hAnsi="Arial" w:cs="Arial"/>
                  <w:sz w:val="20"/>
                  <w:szCs w:val="20"/>
                </w:rPr>
                <w:t>the FCA published FG16/8, covering the fair treatment of legacy customers</w:t>
              </w:r>
              <w:r w:rsidR="00F34420" w:rsidRPr="00975311">
                <w:rPr>
                  <w:vertAlign w:val="superscript"/>
                </w:rPr>
                <w:footnoteReference w:id="6"/>
              </w:r>
              <w:r w:rsidR="00F34420" w:rsidRPr="000230E1">
                <w:rPr>
                  <w:rFonts w:ascii="Arial" w:hAnsi="Arial" w:cs="Arial"/>
                  <w:sz w:val="20"/>
                  <w:szCs w:val="20"/>
                </w:rPr>
                <w:t xml:space="preserve">.  Amongst other issues, this </w:t>
              </w:r>
              <w:r w:rsidR="00984271" w:rsidRPr="000230E1">
                <w:rPr>
                  <w:rFonts w:ascii="Arial" w:hAnsi="Arial" w:cs="Arial"/>
                  <w:sz w:val="20"/>
                  <w:szCs w:val="20"/>
                </w:rPr>
                <w:t xml:space="preserve">sets out recommendations relating to the provision of policyholder communications throughout the lifecycle of the product.  This included setting out expectations of the information that should be included on </w:t>
              </w:r>
              <w:r w:rsidRPr="000230E1">
                <w:rPr>
                  <w:rFonts w:ascii="Arial" w:hAnsi="Arial" w:cs="Arial"/>
                  <w:sz w:val="20"/>
                  <w:szCs w:val="20"/>
                </w:rPr>
                <w:t>statements sent to legacy customers (including wit</w:t>
              </w:r>
              <w:r>
                <w:rPr>
                  <w:rFonts w:ascii="Arial" w:hAnsi="Arial" w:cs="Arial"/>
                  <w:sz w:val="20"/>
                  <w:szCs w:val="20"/>
                </w:rPr>
                <w:t>h-</w:t>
              </w:r>
              <w:r w:rsidRPr="000230E1">
                <w:rPr>
                  <w:rFonts w:ascii="Arial" w:hAnsi="Arial" w:cs="Arial"/>
                  <w:sz w:val="20"/>
                  <w:szCs w:val="20"/>
                </w:rPr>
                <w:t>profits policyholders).</w:t>
              </w:r>
            </w:p>
            <w:p w14:paraId="69E1836B" w14:textId="77777777" w:rsidR="00FD50B1" w:rsidRPr="000230E1" w:rsidRDefault="000E15FE" w:rsidP="000230E1">
              <w:pPr>
                <w:jc w:val="both"/>
                <w:rPr>
                  <w:rFonts w:ascii="Arial" w:hAnsi="Arial" w:cs="Arial"/>
                  <w:b/>
                  <w:sz w:val="20"/>
                  <w:szCs w:val="20"/>
                </w:rPr>
              </w:pPr>
              <w:r w:rsidRPr="000230E1">
                <w:rPr>
                  <w:rFonts w:ascii="Arial" w:hAnsi="Arial" w:cs="Arial"/>
                  <w:b/>
                  <w:sz w:val="20"/>
                  <w:szCs w:val="20"/>
                </w:rPr>
                <w:t xml:space="preserve">2.3 </w:t>
              </w:r>
              <w:r w:rsidR="00600F72" w:rsidRPr="000230E1">
                <w:rPr>
                  <w:rFonts w:ascii="Arial" w:hAnsi="Arial" w:cs="Arial"/>
                  <w:b/>
                  <w:sz w:val="20"/>
                  <w:szCs w:val="20"/>
                </w:rPr>
                <w:t>Negative Press</w:t>
              </w:r>
              <w:r w:rsidR="00FD50B1" w:rsidRPr="000230E1">
                <w:rPr>
                  <w:rFonts w:ascii="Arial" w:hAnsi="Arial" w:cs="Arial"/>
                  <w:b/>
                  <w:sz w:val="20"/>
                  <w:szCs w:val="20"/>
                </w:rPr>
                <w:t xml:space="preserve">  </w:t>
              </w:r>
            </w:p>
            <w:p w14:paraId="0B7B83E7" w14:textId="77777777" w:rsidR="00501D3F" w:rsidRPr="004F3001" w:rsidRDefault="00501D3F" w:rsidP="000230E1">
              <w:pPr>
                <w:jc w:val="both"/>
                <w:rPr>
                  <w:rFonts w:ascii="Arial" w:hAnsi="Arial" w:cs="Arial"/>
                  <w:sz w:val="20"/>
                  <w:szCs w:val="20"/>
                </w:rPr>
              </w:pPr>
              <w:r w:rsidRPr="004F3001">
                <w:rPr>
                  <w:rFonts w:ascii="Arial" w:hAnsi="Arial" w:cs="Arial"/>
                  <w:sz w:val="20"/>
                  <w:szCs w:val="20"/>
                </w:rPr>
                <w:t>With-profits business has suffered from widespread criticism in the press for a number of years with practices and performance scrutinised for fairness and value for money:</w:t>
              </w:r>
            </w:p>
            <w:p w14:paraId="1C7FFB34" w14:textId="77777777" w:rsidR="00501D3F" w:rsidRPr="004F3001" w:rsidRDefault="00501D3F" w:rsidP="000230E1">
              <w:pPr>
                <w:jc w:val="both"/>
                <w:rPr>
                  <w:rFonts w:ascii="Arial" w:hAnsi="Arial" w:cs="Arial"/>
                  <w:i/>
                  <w:sz w:val="20"/>
                  <w:szCs w:val="20"/>
                </w:rPr>
              </w:pPr>
              <w:r w:rsidRPr="004F3001">
                <w:rPr>
                  <w:rFonts w:ascii="Arial" w:hAnsi="Arial" w:cs="Arial"/>
                  <w:sz w:val="20"/>
                  <w:szCs w:val="20"/>
                </w:rPr>
                <w:t>“</w:t>
              </w:r>
              <w:r w:rsidRPr="004F3001">
                <w:rPr>
                  <w:rFonts w:ascii="Arial" w:hAnsi="Arial" w:cs="Arial"/>
                  <w:b/>
                  <w:i/>
                  <w:sz w:val="20"/>
                  <w:szCs w:val="20"/>
                </w:rPr>
                <w:t>Savers should plot their escape from zombie funds</w:t>
              </w:r>
              <w:r w:rsidRPr="004F3001">
                <w:rPr>
                  <w:rFonts w:ascii="Arial" w:hAnsi="Arial" w:cs="Arial"/>
                  <w:i/>
                  <w:sz w:val="20"/>
                  <w:szCs w:val="20"/>
                </w:rPr>
                <w:t>” – The Times, 9 July 2016</w:t>
              </w:r>
            </w:p>
            <w:p w14:paraId="74D4BBE6" w14:textId="77777777" w:rsidR="00501D3F" w:rsidRPr="004F3001" w:rsidRDefault="00501D3F" w:rsidP="000230E1">
              <w:pPr>
                <w:jc w:val="both"/>
                <w:rPr>
                  <w:rFonts w:ascii="Arial" w:hAnsi="Arial" w:cs="Arial"/>
                  <w:i/>
                  <w:sz w:val="20"/>
                  <w:szCs w:val="20"/>
                </w:rPr>
              </w:pPr>
              <w:r w:rsidRPr="004F3001">
                <w:rPr>
                  <w:rFonts w:ascii="Arial" w:hAnsi="Arial" w:cs="Arial"/>
                  <w:i/>
                  <w:sz w:val="20"/>
                  <w:szCs w:val="20"/>
                </w:rPr>
                <w:t>“</w:t>
              </w:r>
              <w:r w:rsidRPr="004F3001">
                <w:rPr>
                  <w:rFonts w:ascii="Arial" w:hAnsi="Arial" w:cs="Arial"/>
                  <w:b/>
                  <w:i/>
                  <w:sz w:val="20"/>
                  <w:szCs w:val="20"/>
                </w:rPr>
                <w:t>Help! Why has my ‘with profits’ fund shrunk 11% in two years as stocks hit record highs?</w:t>
              </w:r>
              <w:r w:rsidRPr="004F3001">
                <w:rPr>
                  <w:rFonts w:ascii="Arial" w:hAnsi="Arial" w:cs="Arial"/>
                  <w:i/>
                  <w:sz w:val="20"/>
                  <w:szCs w:val="20"/>
                </w:rPr>
                <w:t>” – Thisismoney.co.uk, 20 May 2015</w:t>
              </w:r>
            </w:p>
            <w:p w14:paraId="203967BC" w14:textId="77777777" w:rsidR="00501D3F" w:rsidRPr="004F3001" w:rsidRDefault="00501D3F" w:rsidP="000230E1">
              <w:pPr>
                <w:jc w:val="both"/>
                <w:rPr>
                  <w:rFonts w:ascii="Arial" w:hAnsi="Arial" w:cs="Arial"/>
                  <w:sz w:val="20"/>
                  <w:szCs w:val="20"/>
                </w:rPr>
              </w:pPr>
              <w:r w:rsidRPr="004F3001">
                <w:rPr>
                  <w:rFonts w:ascii="Arial" w:hAnsi="Arial" w:cs="Arial"/>
                  <w:i/>
                  <w:sz w:val="20"/>
                  <w:szCs w:val="20"/>
                </w:rPr>
                <w:t>“</w:t>
              </w:r>
              <w:r w:rsidRPr="004F3001">
                <w:rPr>
                  <w:rFonts w:ascii="Arial" w:hAnsi="Arial" w:cs="Arial"/>
                  <w:b/>
                  <w:i/>
                  <w:sz w:val="20"/>
                  <w:szCs w:val="20"/>
                </w:rPr>
                <w:t>Deal or No Deal – why deciding when to take ‘with profits’ benefits can be like playing the popular game show</w:t>
              </w:r>
              <w:r w:rsidRPr="004F3001">
                <w:rPr>
                  <w:rFonts w:ascii="Arial" w:hAnsi="Arial" w:cs="Arial"/>
                  <w:b/>
                  <w:sz w:val="20"/>
                  <w:szCs w:val="20"/>
                </w:rPr>
                <w:t xml:space="preserve">” – </w:t>
              </w:r>
              <w:r w:rsidRPr="004F3001">
                <w:rPr>
                  <w:rFonts w:ascii="Arial" w:hAnsi="Arial" w:cs="Arial"/>
                  <w:i/>
                  <w:sz w:val="20"/>
                  <w:szCs w:val="20"/>
                </w:rPr>
                <w:t>Thisismoney.co.uk, 30 May 2015</w:t>
              </w:r>
            </w:p>
            <w:p w14:paraId="554D5077" w14:textId="5440BB75" w:rsidR="00501D3F" w:rsidRPr="004F3001" w:rsidRDefault="00501D3F" w:rsidP="000230E1">
              <w:pPr>
                <w:spacing w:after="240"/>
                <w:contextualSpacing/>
                <w:jc w:val="both"/>
                <w:rPr>
                  <w:rFonts w:ascii="Arial" w:hAnsi="Arial" w:cs="Arial"/>
                  <w:sz w:val="20"/>
                  <w:szCs w:val="20"/>
                </w:rPr>
              </w:pPr>
              <w:r w:rsidRPr="004F3001">
                <w:rPr>
                  <w:rFonts w:ascii="Arial" w:hAnsi="Arial" w:cs="Arial"/>
                  <w:sz w:val="20"/>
                  <w:szCs w:val="20"/>
                </w:rPr>
                <w:t>While performance may not have lived up to expectations</w:t>
              </w:r>
              <w:r w:rsidR="0063143C">
                <w:rPr>
                  <w:rFonts w:ascii="Arial" w:hAnsi="Arial" w:cs="Arial"/>
                  <w:sz w:val="20"/>
                  <w:szCs w:val="20"/>
                </w:rPr>
                <w:t xml:space="preserve"> set in original illustrations</w:t>
              </w:r>
              <w:r w:rsidRPr="004F3001">
                <w:rPr>
                  <w:rFonts w:ascii="Arial" w:hAnsi="Arial" w:cs="Arial"/>
                  <w:sz w:val="20"/>
                  <w:szCs w:val="20"/>
                </w:rPr>
                <w:t>, have products delivered on their promises or have customers been locked in to high cost, poor quality investments?</w:t>
              </w:r>
              <w:r w:rsidR="0063143C">
                <w:rPr>
                  <w:rFonts w:ascii="Arial" w:hAnsi="Arial" w:cs="Arial"/>
                  <w:sz w:val="20"/>
                  <w:szCs w:val="20"/>
                </w:rPr>
                <w:t xml:space="preserve">  Could alternative products have delivered better outcomes for same or lower cost?  </w:t>
              </w:r>
              <w:r w:rsidR="00D37586">
                <w:rPr>
                  <w:rFonts w:ascii="Arial" w:hAnsi="Arial" w:cs="Arial"/>
                  <w:sz w:val="20"/>
                  <w:szCs w:val="20"/>
                </w:rPr>
                <w:t xml:space="preserve">In section 2.5 </w:t>
              </w:r>
              <w:r w:rsidR="0063143C">
                <w:rPr>
                  <w:rFonts w:ascii="Arial" w:hAnsi="Arial" w:cs="Arial"/>
                  <w:sz w:val="20"/>
                  <w:szCs w:val="20"/>
                </w:rPr>
                <w:t>we address the performance of with-profits as a whole, and also consider what expectations customers may have.</w:t>
              </w:r>
            </w:p>
            <w:p w14:paraId="1214D5C7" w14:textId="77777777" w:rsidR="00501D3F" w:rsidRPr="004F3001" w:rsidRDefault="00501D3F">
              <w:pPr>
                <w:spacing w:after="240"/>
                <w:contextualSpacing/>
                <w:jc w:val="both"/>
                <w:rPr>
                  <w:rFonts w:ascii="Arial" w:hAnsi="Arial" w:cs="Arial"/>
                  <w:sz w:val="20"/>
                  <w:szCs w:val="20"/>
                </w:rPr>
              </w:pPr>
            </w:p>
            <w:p w14:paraId="4459E006" w14:textId="77777777" w:rsidR="00501D3F" w:rsidRPr="004F3001" w:rsidRDefault="00501D3F">
              <w:pPr>
                <w:spacing w:after="240"/>
                <w:contextualSpacing/>
                <w:jc w:val="both"/>
                <w:rPr>
                  <w:rFonts w:ascii="Arial" w:hAnsi="Arial" w:cs="Arial"/>
                  <w:sz w:val="20"/>
                  <w:szCs w:val="20"/>
                </w:rPr>
              </w:pPr>
            </w:p>
            <w:p w14:paraId="46F430E1" w14:textId="52645517" w:rsidR="00501D3F" w:rsidRPr="004F3001" w:rsidRDefault="00501D3F">
              <w:pPr>
                <w:spacing w:after="240"/>
                <w:contextualSpacing/>
                <w:jc w:val="both"/>
                <w:rPr>
                  <w:rFonts w:ascii="Arial" w:hAnsi="Arial" w:cs="Arial"/>
                  <w:b/>
                  <w:sz w:val="20"/>
                  <w:szCs w:val="20"/>
                </w:rPr>
              </w:pPr>
              <w:r w:rsidRPr="004F3001">
                <w:rPr>
                  <w:rFonts w:ascii="Arial" w:hAnsi="Arial" w:cs="Arial"/>
                  <w:b/>
                  <w:sz w:val="20"/>
                  <w:szCs w:val="20"/>
                </w:rPr>
                <w:t>2.</w:t>
              </w:r>
              <w:r w:rsidR="00463D64">
                <w:rPr>
                  <w:rFonts w:ascii="Arial" w:hAnsi="Arial" w:cs="Arial"/>
                  <w:b/>
                  <w:sz w:val="20"/>
                  <w:szCs w:val="20"/>
                </w:rPr>
                <w:t>4</w:t>
              </w:r>
              <w:r w:rsidR="00463D64" w:rsidRPr="004F3001">
                <w:rPr>
                  <w:rFonts w:ascii="Arial" w:hAnsi="Arial" w:cs="Arial"/>
                  <w:b/>
                  <w:sz w:val="20"/>
                  <w:szCs w:val="20"/>
                </w:rPr>
                <w:t xml:space="preserve"> </w:t>
              </w:r>
              <w:r w:rsidRPr="004F3001">
                <w:rPr>
                  <w:rFonts w:ascii="Arial" w:hAnsi="Arial" w:cs="Arial"/>
                  <w:b/>
                  <w:sz w:val="20"/>
                  <w:szCs w:val="20"/>
                </w:rPr>
                <w:t>Key features of with-profits</w:t>
              </w:r>
            </w:p>
            <w:p w14:paraId="2103F464" w14:textId="77777777" w:rsidR="00501D3F" w:rsidRPr="004F3001" w:rsidRDefault="00501D3F">
              <w:pPr>
                <w:spacing w:after="240"/>
                <w:contextualSpacing/>
                <w:jc w:val="both"/>
                <w:rPr>
                  <w:rFonts w:ascii="Arial" w:hAnsi="Arial" w:cs="Arial"/>
                  <w:sz w:val="20"/>
                  <w:szCs w:val="20"/>
                </w:rPr>
              </w:pPr>
            </w:p>
            <w:p w14:paraId="2FC37333" w14:textId="77777777" w:rsidR="00501D3F" w:rsidRPr="004F3001" w:rsidRDefault="00501D3F">
              <w:pPr>
                <w:spacing w:after="240"/>
                <w:contextualSpacing/>
                <w:jc w:val="both"/>
                <w:rPr>
                  <w:rFonts w:ascii="Arial" w:hAnsi="Arial" w:cs="Arial"/>
                  <w:sz w:val="20"/>
                  <w:szCs w:val="20"/>
                </w:rPr>
              </w:pPr>
              <w:r w:rsidRPr="004F3001">
                <w:rPr>
                  <w:rFonts w:ascii="Arial" w:hAnsi="Arial" w:cs="Arial"/>
                  <w:sz w:val="20"/>
                  <w:szCs w:val="20"/>
                </w:rPr>
                <w:t>The key features of with</w:t>
              </w:r>
              <w:r>
                <w:rPr>
                  <w:rFonts w:ascii="Arial" w:hAnsi="Arial" w:cs="Arial"/>
                  <w:sz w:val="20"/>
                  <w:szCs w:val="20"/>
                </w:rPr>
                <w:t>-</w:t>
              </w:r>
              <w:r w:rsidRPr="004F3001">
                <w:rPr>
                  <w:rFonts w:ascii="Arial" w:hAnsi="Arial" w:cs="Arial"/>
                  <w:sz w:val="20"/>
                  <w:szCs w:val="20"/>
                </w:rPr>
                <w:t xml:space="preserve">profits products do not differ widely between providers and have remained the same over many years, though how providers administer the funds may have changed.  </w:t>
              </w:r>
              <w:r>
                <w:rPr>
                  <w:rFonts w:ascii="Arial" w:hAnsi="Arial" w:cs="Arial"/>
                  <w:sz w:val="20"/>
                  <w:szCs w:val="20"/>
                </w:rPr>
                <w:t>K</w:t>
              </w:r>
              <w:r w:rsidRPr="004F3001">
                <w:rPr>
                  <w:rFonts w:ascii="Arial" w:hAnsi="Arial" w:cs="Arial"/>
                  <w:sz w:val="20"/>
                  <w:szCs w:val="20"/>
                </w:rPr>
                <w:t>ey features include:</w:t>
              </w:r>
            </w:p>
            <w:p w14:paraId="78274151" w14:textId="77777777" w:rsidR="00501D3F" w:rsidRPr="004F3001" w:rsidRDefault="00501D3F">
              <w:pPr>
                <w:pStyle w:val="ListParagraph"/>
                <w:numPr>
                  <w:ilvl w:val="0"/>
                  <w:numId w:val="9"/>
                </w:numPr>
                <w:spacing w:after="240"/>
                <w:jc w:val="both"/>
                <w:rPr>
                  <w:rFonts w:cs="Arial"/>
                  <w:szCs w:val="20"/>
                </w:rPr>
              </w:pPr>
              <w:r w:rsidRPr="004F3001">
                <w:rPr>
                  <w:rFonts w:cs="Arial"/>
                  <w:szCs w:val="20"/>
                </w:rPr>
                <w:t>Guaranteed minimum values –payable on a single specified date, or on a range of dates and give customers protection from poor investment returns.</w:t>
              </w:r>
            </w:p>
            <w:p w14:paraId="1501BFCF" w14:textId="7AA19797" w:rsidR="00501D3F" w:rsidRPr="004F3001" w:rsidRDefault="00501D3F">
              <w:pPr>
                <w:pStyle w:val="ListParagraph"/>
                <w:numPr>
                  <w:ilvl w:val="0"/>
                  <w:numId w:val="9"/>
                </w:numPr>
                <w:spacing w:after="240"/>
                <w:jc w:val="both"/>
                <w:rPr>
                  <w:rFonts w:cs="Arial"/>
                  <w:szCs w:val="20"/>
                </w:rPr>
              </w:pPr>
              <w:r w:rsidRPr="004F3001">
                <w:rPr>
                  <w:rFonts w:cs="Arial"/>
                  <w:szCs w:val="20"/>
                </w:rPr>
                <w:t>Investment mix – Funds</w:t>
              </w:r>
              <w:r>
                <w:rPr>
                  <w:rFonts w:cs="Arial"/>
                  <w:szCs w:val="20"/>
                </w:rPr>
                <w:t xml:space="preserve"> </w:t>
              </w:r>
              <w:r w:rsidRPr="004F3001">
                <w:rPr>
                  <w:rFonts w:cs="Arial"/>
                  <w:szCs w:val="20"/>
                </w:rPr>
                <w:t xml:space="preserve">define the level of investment risk </w:t>
              </w:r>
              <w:r>
                <w:rPr>
                  <w:rFonts w:cs="Arial"/>
                  <w:szCs w:val="20"/>
                </w:rPr>
                <w:t xml:space="preserve">for </w:t>
              </w:r>
              <w:r w:rsidRPr="004F3001">
                <w:rPr>
                  <w:rFonts w:cs="Arial"/>
                  <w:szCs w:val="20"/>
                </w:rPr>
                <w:t>each product, and set the investment mix accordingly</w:t>
              </w:r>
              <w:r w:rsidR="00D37586">
                <w:rPr>
                  <w:rFonts w:cs="Arial"/>
                  <w:szCs w:val="20"/>
                </w:rPr>
                <w:t xml:space="preserve">. </w:t>
              </w:r>
              <w:r w:rsidRPr="004F3001">
                <w:rPr>
                  <w:rFonts w:cs="Arial"/>
                  <w:szCs w:val="20"/>
                </w:rPr>
                <w:t>Within this</w:t>
              </w:r>
              <w:r>
                <w:rPr>
                  <w:rFonts w:cs="Arial"/>
                  <w:szCs w:val="20"/>
                </w:rPr>
                <w:t xml:space="preserve"> risk limit</w:t>
              </w:r>
              <w:r w:rsidRPr="004F3001">
                <w:rPr>
                  <w:rFonts w:cs="Arial"/>
                  <w:szCs w:val="20"/>
                </w:rPr>
                <w:t>, funds look to achieve a diversified mix of holdings and maximise returns on those investments while retaining enough protection on the downside.</w:t>
              </w:r>
              <w:r w:rsidR="00D37586">
                <w:rPr>
                  <w:rFonts w:cs="Arial"/>
                  <w:szCs w:val="20"/>
                </w:rPr>
                <w:t xml:space="preserve"> </w:t>
              </w:r>
            </w:p>
            <w:p w14:paraId="7F281394" w14:textId="77777777" w:rsidR="00501D3F" w:rsidRPr="004F3001" w:rsidRDefault="00501D3F">
              <w:pPr>
                <w:pStyle w:val="ListParagraph"/>
                <w:numPr>
                  <w:ilvl w:val="0"/>
                  <w:numId w:val="9"/>
                </w:numPr>
                <w:spacing w:after="240"/>
                <w:jc w:val="both"/>
                <w:rPr>
                  <w:rFonts w:cs="Arial"/>
                  <w:szCs w:val="20"/>
                </w:rPr>
              </w:pPr>
              <w:r w:rsidRPr="004F3001">
                <w:rPr>
                  <w:rFonts w:cs="Arial"/>
                  <w:szCs w:val="20"/>
                </w:rPr>
                <w:t>Smoothing – The value of investments can suddenly change significantly, yet customers have bought these products to meet a specific purpose, and would not expect to see sudden large movements in the value of their policy. Smoothing is applied to try and even ou</w:t>
              </w:r>
              <w:r>
                <w:rPr>
                  <w:rFonts w:cs="Arial"/>
                  <w:szCs w:val="20"/>
                </w:rPr>
                <w:t>t</w:t>
              </w:r>
              <w:r w:rsidRPr="004F3001">
                <w:rPr>
                  <w:rFonts w:cs="Arial"/>
                  <w:szCs w:val="20"/>
                </w:rPr>
                <w:t xml:space="preserve"> sudden movements (both upside and down) to offer protection from sudden drops in value. This should be applied in </w:t>
              </w:r>
              <w:r>
                <w:rPr>
                  <w:rFonts w:cs="Arial"/>
                  <w:szCs w:val="20"/>
                </w:rPr>
                <w:t xml:space="preserve">a </w:t>
              </w:r>
              <w:r w:rsidRPr="004F3001">
                <w:rPr>
                  <w:rFonts w:cs="Arial"/>
                  <w:szCs w:val="20"/>
                </w:rPr>
                <w:t xml:space="preserve">way </w:t>
              </w:r>
              <w:r>
                <w:rPr>
                  <w:rFonts w:cs="Arial"/>
                  <w:szCs w:val="20"/>
                </w:rPr>
                <w:t>that is neutral</w:t>
              </w:r>
              <w:r w:rsidRPr="004F3001">
                <w:rPr>
                  <w:rFonts w:cs="Arial"/>
                  <w:szCs w:val="20"/>
                </w:rPr>
                <w:t xml:space="preserve"> over the long term (i.e. smooth up as often as down).</w:t>
              </w:r>
            </w:p>
            <w:p w14:paraId="3F841B7D" w14:textId="73F71DDE" w:rsidR="00501D3F" w:rsidRPr="004F3001" w:rsidRDefault="00501D3F">
              <w:pPr>
                <w:pStyle w:val="ListParagraph"/>
                <w:numPr>
                  <w:ilvl w:val="0"/>
                  <w:numId w:val="9"/>
                </w:numPr>
                <w:spacing w:after="240"/>
                <w:jc w:val="both"/>
                <w:rPr>
                  <w:rFonts w:cs="Arial"/>
                  <w:szCs w:val="20"/>
                </w:rPr>
              </w:pPr>
              <w:r w:rsidRPr="004F3001">
                <w:rPr>
                  <w:rFonts w:cs="Arial"/>
                  <w:szCs w:val="20"/>
                </w:rPr>
                <w:t xml:space="preserve">Charges / expenses – </w:t>
              </w:r>
              <w:r>
                <w:rPr>
                  <w:rFonts w:cs="Arial"/>
                  <w:szCs w:val="20"/>
                </w:rPr>
                <w:t xml:space="preserve">There are different charging structures which </w:t>
              </w:r>
              <w:r w:rsidRPr="004F3001">
                <w:rPr>
                  <w:rFonts w:cs="Arial"/>
                  <w:szCs w:val="20"/>
                </w:rPr>
                <w:t>depend on the product – some are charged by a set annual management charge, others are charged a monetary amount based on the expenses of running the fund each year. Customers can also be charged a regular amount to pay for the</w:t>
              </w:r>
              <w:r>
                <w:rPr>
                  <w:rFonts w:cs="Arial"/>
                  <w:szCs w:val="20"/>
                </w:rPr>
                <w:t>ir</w:t>
              </w:r>
              <w:r w:rsidRPr="004F3001">
                <w:rPr>
                  <w:rFonts w:cs="Arial"/>
                  <w:szCs w:val="20"/>
                </w:rPr>
                <w:t xml:space="preserve"> guarantees</w:t>
              </w:r>
              <w:r>
                <w:rPr>
                  <w:rFonts w:cs="Arial"/>
                  <w:szCs w:val="20"/>
                </w:rPr>
                <w:t>.</w:t>
              </w:r>
            </w:p>
            <w:p w14:paraId="4A1F54AA" w14:textId="77777777" w:rsidR="00501D3F" w:rsidRPr="004F3001" w:rsidRDefault="00501D3F">
              <w:pPr>
                <w:pStyle w:val="ListParagraph"/>
                <w:numPr>
                  <w:ilvl w:val="0"/>
                  <w:numId w:val="9"/>
                </w:numPr>
                <w:spacing w:after="240"/>
                <w:jc w:val="both"/>
                <w:rPr>
                  <w:rFonts w:cs="Arial"/>
                  <w:szCs w:val="20"/>
                </w:rPr>
              </w:pPr>
              <w:r w:rsidRPr="004F3001">
                <w:rPr>
                  <w:rFonts w:cs="Arial"/>
                  <w:szCs w:val="20"/>
                </w:rPr>
                <w:t xml:space="preserve">Surrender penalties / Market Value Reductions (MVR’s) – these could be applied on all </w:t>
              </w:r>
              <w:r w:rsidR="0063143C">
                <w:rPr>
                  <w:rFonts w:cs="Arial"/>
                  <w:szCs w:val="20"/>
                </w:rPr>
                <w:t>dates other than the original maturity</w:t>
              </w:r>
              <w:r w:rsidR="0063143C" w:rsidRPr="004F3001">
                <w:rPr>
                  <w:rFonts w:cs="Arial"/>
                  <w:szCs w:val="20"/>
                </w:rPr>
                <w:t xml:space="preserve"> </w:t>
              </w:r>
              <w:r w:rsidRPr="004F3001">
                <w:rPr>
                  <w:rFonts w:cs="Arial"/>
                  <w:szCs w:val="20"/>
                </w:rPr>
                <w:t>date if customers look to take the current value of their policy</w:t>
              </w:r>
              <w:r w:rsidR="0063143C">
                <w:rPr>
                  <w:rFonts w:cs="Arial"/>
                  <w:szCs w:val="20"/>
                </w:rPr>
                <w:t>.  They</w:t>
              </w:r>
              <w:r w:rsidRPr="004F3001">
                <w:rPr>
                  <w:rFonts w:cs="Arial"/>
                  <w:szCs w:val="20"/>
                </w:rPr>
                <w:t xml:space="preserve"> </w:t>
              </w:r>
              <w:r w:rsidR="0063143C">
                <w:rPr>
                  <w:rFonts w:cs="Arial"/>
                  <w:szCs w:val="20"/>
                </w:rPr>
                <w:t xml:space="preserve">can take the form of lower terminal bonus rates, explicit charges, reduced unit prices or factors acting to reduce terminal bonus rates, and </w:t>
              </w:r>
              <w:r w:rsidRPr="004F3001">
                <w:rPr>
                  <w:rFonts w:cs="Arial"/>
                  <w:szCs w:val="20"/>
                </w:rPr>
                <w:t xml:space="preserve">would act to reduce the value compared to what they would get on </w:t>
              </w:r>
              <w:r w:rsidR="0063143C">
                <w:rPr>
                  <w:rFonts w:cs="Arial"/>
                  <w:szCs w:val="20"/>
                </w:rPr>
                <w:t>their contractual</w:t>
              </w:r>
              <w:r w:rsidRPr="004F3001">
                <w:rPr>
                  <w:rFonts w:cs="Arial"/>
                  <w:szCs w:val="20"/>
                </w:rPr>
                <w:t xml:space="preserve"> date</w:t>
              </w:r>
              <w:r w:rsidR="0063143C">
                <w:rPr>
                  <w:rFonts w:cs="Arial"/>
                  <w:szCs w:val="20"/>
                </w:rPr>
                <w:t>(s)</w:t>
              </w:r>
              <w:r w:rsidRPr="004F3001">
                <w:rPr>
                  <w:rFonts w:cs="Arial"/>
                  <w:szCs w:val="20"/>
                </w:rPr>
                <w:t xml:space="preserve">. These are applied to avoid customers leaving </w:t>
              </w:r>
              <w:proofErr w:type="spellStart"/>
              <w:r w:rsidR="0063143C">
                <w:rPr>
                  <w:rFonts w:cs="Arial"/>
                  <w:szCs w:val="20"/>
                </w:rPr>
                <w:t>outwith</w:t>
              </w:r>
              <w:proofErr w:type="spellEnd"/>
              <w:r w:rsidR="0063143C">
                <w:rPr>
                  <w:rFonts w:cs="Arial"/>
                  <w:szCs w:val="20"/>
                </w:rPr>
                <w:t xml:space="preserve"> their contractual terms </w:t>
              </w:r>
              <w:r w:rsidRPr="004F3001">
                <w:rPr>
                  <w:rFonts w:cs="Arial"/>
                  <w:szCs w:val="20"/>
                </w:rPr>
                <w:t xml:space="preserve">with more than their fair share of the fund’s assets in order to protect the interests of those customers staying in the fund. </w:t>
              </w:r>
              <w:r>
                <w:rPr>
                  <w:rFonts w:cs="Arial"/>
                  <w:szCs w:val="20"/>
                </w:rPr>
                <w:t>In addition, t</w:t>
              </w:r>
              <w:r w:rsidRPr="004F3001">
                <w:rPr>
                  <w:rFonts w:cs="Arial"/>
                  <w:szCs w:val="20"/>
                </w:rPr>
                <w:t xml:space="preserve">he impact of poor investment returns is passed on to the customer and there </w:t>
              </w:r>
              <w:r w:rsidR="0063143C">
                <w:rPr>
                  <w:rFonts w:cs="Arial"/>
                  <w:szCs w:val="20"/>
                </w:rPr>
                <w:t>may</w:t>
              </w:r>
              <w:r w:rsidR="0063143C" w:rsidRPr="004F3001">
                <w:rPr>
                  <w:rFonts w:cs="Arial"/>
                  <w:szCs w:val="20"/>
                </w:rPr>
                <w:t xml:space="preserve"> </w:t>
              </w:r>
              <w:r w:rsidRPr="004F3001">
                <w:rPr>
                  <w:rFonts w:cs="Arial"/>
                  <w:szCs w:val="20"/>
                </w:rPr>
                <w:t>be less smoothing protection offered on these claims.</w:t>
              </w:r>
            </w:p>
            <w:p w14:paraId="2EFFD7D3" w14:textId="7583A3FB" w:rsidR="00501D3F" w:rsidRPr="004F3001" w:rsidRDefault="00501D3F">
              <w:pPr>
                <w:pStyle w:val="ListParagraph"/>
                <w:numPr>
                  <w:ilvl w:val="0"/>
                  <w:numId w:val="9"/>
                </w:numPr>
                <w:spacing w:after="240"/>
                <w:jc w:val="both"/>
                <w:rPr>
                  <w:rFonts w:cs="Arial"/>
                  <w:szCs w:val="20"/>
                </w:rPr>
              </w:pPr>
              <w:r w:rsidRPr="004F3001">
                <w:rPr>
                  <w:rFonts w:cs="Arial"/>
                  <w:szCs w:val="20"/>
                </w:rPr>
                <w:t xml:space="preserve">Bonuses – </w:t>
              </w:r>
              <w:r>
                <w:rPr>
                  <w:rFonts w:cs="Arial"/>
                  <w:szCs w:val="20"/>
                </w:rPr>
                <w:t>all</w:t>
              </w:r>
              <w:r w:rsidRPr="004F3001">
                <w:rPr>
                  <w:rFonts w:cs="Arial"/>
                  <w:szCs w:val="20"/>
                </w:rPr>
                <w:t xml:space="preserve"> funds have a defined mechanism to allocate profits </w:t>
              </w:r>
              <w:r w:rsidR="0063143C">
                <w:rPr>
                  <w:rFonts w:cs="Arial"/>
                  <w:szCs w:val="20"/>
                </w:rPr>
                <w:t xml:space="preserve">to </w:t>
              </w:r>
              <w:r w:rsidR="00F65AF5">
                <w:rPr>
                  <w:rFonts w:cs="Arial"/>
                  <w:szCs w:val="20"/>
                </w:rPr>
                <w:t>policy values</w:t>
              </w:r>
              <w:r w:rsidR="0063143C">
                <w:rPr>
                  <w:rFonts w:cs="Arial"/>
                  <w:szCs w:val="20"/>
                </w:rPr>
                <w:t xml:space="preserve">, split </w:t>
              </w:r>
              <w:r w:rsidRPr="004F3001">
                <w:rPr>
                  <w:rFonts w:cs="Arial"/>
                  <w:szCs w:val="20"/>
                </w:rPr>
                <w:t xml:space="preserve">between regular bonuses and terminal bonuses. </w:t>
              </w:r>
              <w:r>
                <w:rPr>
                  <w:rFonts w:cs="Arial"/>
                  <w:szCs w:val="20"/>
                </w:rPr>
                <w:t xml:space="preserve">The extent to which regular bonuses have been historically applied impacts on the terminal bonus paid. </w:t>
              </w:r>
              <w:r w:rsidR="00F65AF5">
                <w:rPr>
                  <w:rFonts w:cs="Arial"/>
                  <w:szCs w:val="20"/>
                </w:rPr>
                <w:t xml:space="preserve">Once a regular bonus is declared, it increases the guaranteed minimum value of the policy and cannot be taken away (except on early surrender – see above).  </w:t>
              </w:r>
              <w:r w:rsidRPr="004F3001">
                <w:rPr>
                  <w:rFonts w:cs="Arial"/>
                  <w:szCs w:val="20"/>
                </w:rPr>
                <w:t xml:space="preserve">Funds which have historically applied large regular bonuses </w:t>
              </w:r>
              <w:r>
                <w:rPr>
                  <w:rFonts w:cs="Arial"/>
                  <w:szCs w:val="20"/>
                </w:rPr>
                <w:t xml:space="preserve">typically have less </w:t>
              </w:r>
              <w:r w:rsidR="00F65AF5">
                <w:rPr>
                  <w:rFonts w:cs="Arial"/>
                  <w:szCs w:val="20"/>
                </w:rPr>
                <w:t xml:space="preserve">investment freedom (this is constrained by the need to back higher guarantees with less risky, lower return assets such as bonds) and thus less </w:t>
              </w:r>
              <w:r>
                <w:rPr>
                  <w:rFonts w:cs="Arial"/>
                  <w:szCs w:val="20"/>
                </w:rPr>
                <w:t xml:space="preserve">capacity </w:t>
              </w:r>
              <w:r w:rsidRPr="004F3001">
                <w:rPr>
                  <w:rFonts w:cs="Arial"/>
                  <w:szCs w:val="20"/>
                </w:rPr>
                <w:t xml:space="preserve">to </w:t>
              </w:r>
              <w:r>
                <w:rPr>
                  <w:rFonts w:cs="Arial"/>
                  <w:szCs w:val="20"/>
                </w:rPr>
                <w:t>pay more</w:t>
              </w:r>
              <w:r w:rsidRPr="004F3001">
                <w:rPr>
                  <w:rFonts w:cs="Arial"/>
                  <w:szCs w:val="20"/>
                </w:rPr>
                <w:t xml:space="preserve"> through terminal bonuses. </w:t>
              </w:r>
              <w:r w:rsidR="00F65AF5">
                <w:rPr>
                  <w:rFonts w:cs="Arial"/>
                  <w:szCs w:val="20"/>
                </w:rPr>
                <w:t>These policies would be more protected from sudden changes in value due to the high proportion of the payout being guaranteed</w:t>
              </w:r>
              <w:r w:rsidR="00B003AE">
                <w:rPr>
                  <w:rFonts w:cs="Arial"/>
                  <w:szCs w:val="20"/>
                </w:rPr>
                <w:t>, with a lower proportion being</w:t>
              </w:r>
              <w:r w:rsidR="00F65AF5">
                <w:rPr>
                  <w:rFonts w:cs="Arial"/>
                  <w:szCs w:val="20"/>
                </w:rPr>
                <w:t xml:space="preserve"> sensitive to market movements.  </w:t>
              </w:r>
              <w:r w:rsidRPr="004F3001">
                <w:rPr>
                  <w:rFonts w:cs="Arial"/>
                  <w:szCs w:val="20"/>
                </w:rPr>
                <w:t xml:space="preserve">Conversely, funds which have historically added </w:t>
              </w:r>
              <w:r>
                <w:rPr>
                  <w:rFonts w:cs="Arial"/>
                  <w:szCs w:val="20"/>
                </w:rPr>
                <w:t>smaller</w:t>
              </w:r>
              <w:r w:rsidRPr="004F3001">
                <w:rPr>
                  <w:rFonts w:cs="Arial"/>
                  <w:szCs w:val="20"/>
                </w:rPr>
                <w:t xml:space="preserve"> regular bonus may </w:t>
              </w:r>
              <w:r w:rsidR="00F65AF5">
                <w:rPr>
                  <w:rFonts w:cs="Arial"/>
                  <w:szCs w:val="20"/>
                </w:rPr>
                <w:t xml:space="preserve">have more capacity to invest in higher risk/return assets, such as equities, and </w:t>
              </w:r>
              <w:r>
                <w:rPr>
                  <w:rFonts w:cs="Arial"/>
                  <w:szCs w:val="20"/>
                </w:rPr>
                <w:t xml:space="preserve">be able to declare </w:t>
              </w:r>
              <w:r w:rsidRPr="004F3001">
                <w:rPr>
                  <w:rFonts w:cs="Arial"/>
                  <w:szCs w:val="20"/>
                </w:rPr>
                <w:t>large</w:t>
              </w:r>
              <w:r w:rsidR="00F65AF5">
                <w:rPr>
                  <w:rFonts w:cs="Arial"/>
                  <w:szCs w:val="20"/>
                </w:rPr>
                <w:t>r</w:t>
              </w:r>
              <w:r w:rsidRPr="004F3001">
                <w:rPr>
                  <w:rFonts w:cs="Arial"/>
                  <w:szCs w:val="20"/>
                </w:rPr>
                <w:t xml:space="preserve"> terminal bonus</w:t>
              </w:r>
              <w:r>
                <w:rPr>
                  <w:rFonts w:cs="Arial"/>
                  <w:szCs w:val="20"/>
                </w:rPr>
                <w:t>, however this is</w:t>
              </w:r>
              <w:r w:rsidRPr="004F3001">
                <w:rPr>
                  <w:rFonts w:cs="Arial"/>
                  <w:szCs w:val="20"/>
                </w:rPr>
                <w:t xml:space="preserve"> sensitive to short term market movements,</w:t>
              </w:r>
              <w:r>
                <w:rPr>
                  <w:rFonts w:cs="Arial"/>
                  <w:szCs w:val="20"/>
                </w:rPr>
                <w:t xml:space="preserve"> </w:t>
              </w:r>
              <w:r w:rsidRPr="004F3001">
                <w:rPr>
                  <w:rFonts w:cs="Arial"/>
                  <w:szCs w:val="20"/>
                </w:rPr>
                <w:t xml:space="preserve">with </w:t>
              </w:r>
              <w:r w:rsidR="00B003AE">
                <w:rPr>
                  <w:rFonts w:cs="Arial"/>
                  <w:szCs w:val="20"/>
                </w:rPr>
                <w:t>less</w:t>
              </w:r>
              <w:r w:rsidR="00B003AE" w:rsidRPr="004F3001">
                <w:rPr>
                  <w:rFonts w:cs="Arial"/>
                  <w:szCs w:val="20"/>
                </w:rPr>
                <w:t xml:space="preserve"> </w:t>
              </w:r>
              <w:r w:rsidR="00F65AF5">
                <w:rPr>
                  <w:rFonts w:cs="Arial"/>
                  <w:szCs w:val="20"/>
                </w:rPr>
                <w:t>protection</w:t>
              </w:r>
              <w:r w:rsidR="00F65AF5" w:rsidRPr="004F3001">
                <w:rPr>
                  <w:rFonts w:cs="Arial"/>
                  <w:szCs w:val="20"/>
                </w:rPr>
                <w:t xml:space="preserve"> </w:t>
              </w:r>
              <w:r w:rsidRPr="004F3001">
                <w:rPr>
                  <w:rFonts w:cs="Arial"/>
                  <w:szCs w:val="20"/>
                </w:rPr>
                <w:t>offered from the guarantees.</w:t>
              </w:r>
            </w:p>
            <w:p w14:paraId="280779DE" w14:textId="77777777" w:rsidR="00501D3F" w:rsidRPr="004F3001" w:rsidRDefault="00501D3F">
              <w:pPr>
                <w:pStyle w:val="ListParagraph"/>
                <w:numPr>
                  <w:ilvl w:val="0"/>
                  <w:numId w:val="9"/>
                </w:numPr>
                <w:spacing w:after="240"/>
                <w:jc w:val="both"/>
                <w:rPr>
                  <w:rFonts w:cs="Arial"/>
                  <w:szCs w:val="20"/>
                </w:rPr>
              </w:pPr>
              <w:r w:rsidRPr="004F3001">
                <w:rPr>
                  <w:rFonts w:cs="Arial"/>
                  <w:szCs w:val="20"/>
                </w:rPr>
                <w:t xml:space="preserve">Estate – </w:t>
              </w:r>
              <w:r w:rsidR="00F65AF5">
                <w:rPr>
                  <w:rFonts w:cs="Arial"/>
                  <w:szCs w:val="20"/>
                </w:rPr>
                <w:t xml:space="preserve">this is a </w:t>
              </w:r>
              <w:r>
                <w:rPr>
                  <w:rFonts w:cs="Arial"/>
                  <w:szCs w:val="20"/>
                </w:rPr>
                <w:t>fund</w:t>
              </w:r>
              <w:r w:rsidR="00F65AF5">
                <w:rPr>
                  <w:rFonts w:cs="Arial"/>
                  <w:szCs w:val="20"/>
                </w:rPr>
                <w:t>’</w:t>
              </w:r>
              <w:r>
                <w:rPr>
                  <w:rFonts w:cs="Arial"/>
                  <w:szCs w:val="20"/>
                </w:rPr>
                <w:t>s</w:t>
              </w:r>
              <w:r w:rsidRPr="004F3001">
                <w:rPr>
                  <w:rFonts w:cs="Arial"/>
                  <w:szCs w:val="20"/>
                </w:rPr>
                <w:t xml:space="preserve"> excess assets over and above those liabilities expected to be incurred. Once funds </w:t>
              </w:r>
              <w:r>
                <w:rPr>
                  <w:rFonts w:cs="Arial"/>
                  <w:szCs w:val="20"/>
                </w:rPr>
                <w:t>stop writing</w:t>
              </w:r>
              <w:r w:rsidRPr="004F3001">
                <w:rPr>
                  <w:rFonts w:cs="Arial"/>
                  <w:szCs w:val="20"/>
                </w:rPr>
                <w:t xml:space="preserve"> new business, or new business volumes fall below a certain level, funds should look to </w:t>
              </w:r>
              <w:r w:rsidR="00F65AF5">
                <w:rPr>
                  <w:rFonts w:cs="Arial"/>
                  <w:szCs w:val="20"/>
                </w:rPr>
                <w:t xml:space="preserve">define a mechanism to </w:t>
              </w:r>
              <w:r w:rsidRPr="004F3001">
                <w:rPr>
                  <w:rFonts w:cs="Arial"/>
                  <w:szCs w:val="20"/>
                </w:rPr>
                <w:t>distribute these</w:t>
              </w:r>
              <w:r>
                <w:rPr>
                  <w:rFonts w:cs="Arial"/>
                  <w:szCs w:val="20"/>
                </w:rPr>
                <w:t xml:space="preserve"> excess assets (‘the estate’)</w:t>
              </w:r>
              <w:r w:rsidRPr="004F3001">
                <w:rPr>
                  <w:rFonts w:cs="Arial"/>
                  <w:szCs w:val="20"/>
                </w:rPr>
                <w:t xml:space="preserve"> in a fair and reasonable manner. This is likely to be through additions to payout values, </w:t>
              </w:r>
              <w:r>
                <w:rPr>
                  <w:rFonts w:cs="Arial"/>
                  <w:szCs w:val="20"/>
                </w:rPr>
                <w:t xml:space="preserve">one-off </w:t>
              </w:r>
              <w:r w:rsidRPr="004F3001">
                <w:rPr>
                  <w:rFonts w:cs="Arial"/>
                  <w:szCs w:val="20"/>
                </w:rPr>
                <w:t>cash payments, additional unit allocations, special bonuses</w:t>
              </w:r>
              <w:r>
                <w:rPr>
                  <w:rFonts w:cs="Arial"/>
                  <w:szCs w:val="20"/>
                </w:rPr>
                <w:t xml:space="preserve"> </w:t>
              </w:r>
              <w:r w:rsidR="00F65AF5">
                <w:rPr>
                  <w:rFonts w:cs="Arial"/>
                  <w:szCs w:val="20"/>
                </w:rPr>
                <w:t>or</w:t>
              </w:r>
              <w:r w:rsidR="00F65AF5" w:rsidRPr="004F3001">
                <w:rPr>
                  <w:rFonts w:cs="Arial"/>
                  <w:szCs w:val="20"/>
                </w:rPr>
                <w:t xml:space="preserve"> </w:t>
              </w:r>
              <w:r w:rsidRPr="004F3001">
                <w:rPr>
                  <w:rFonts w:cs="Arial"/>
                  <w:szCs w:val="20"/>
                </w:rPr>
                <w:t xml:space="preserve">pre-funding future deductions for guarantees. The </w:t>
              </w:r>
              <w:r>
                <w:rPr>
                  <w:rFonts w:cs="Arial"/>
                  <w:szCs w:val="20"/>
                </w:rPr>
                <w:t>value of the</w:t>
              </w:r>
              <w:r w:rsidRPr="004F3001">
                <w:rPr>
                  <w:rFonts w:cs="Arial"/>
                  <w:szCs w:val="20"/>
                </w:rPr>
                <w:t xml:space="preserve"> estate depend</w:t>
              </w:r>
              <w:r>
                <w:rPr>
                  <w:rFonts w:cs="Arial"/>
                  <w:szCs w:val="20"/>
                </w:rPr>
                <w:t>s</w:t>
              </w:r>
              <w:r w:rsidRPr="004F3001">
                <w:rPr>
                  <w:rFonts w:cs="Arial"/>
                  <w:szCs w:val="20"/>
                </w:rPr>
                <w:t xml:space="preserve"> on a number of factors, including:</w:t>
              </w:r>
            </w:p>
            <w:p w14:paraId="41DB06AD" w14:textId="77777777" w:rsidR="00501D3F" w:rsidRPr="004F3001" w:rsidRDefault="00501D3F">
              <w:pPr>
                <w:pStyle w:val="ListParagraph"/>
                <w:numPr>
                  <w:ilvl w:val="1"/>
                  <w:numId w:val="9"/>
                </w:numPr>
                <w:spacing w:after="240"/>
                <w:jc w:val="both"/>
                <w:rPr>
                  <w:rFonts w:cs="Arial"/>
                  <w:szCs w:val="20"/>
                </w:rPr>
              </w:pPr>
              <w:r w:rsidRPr="004F3001">
                <w:rPr>
                  <w:rFonts w:cs="Arial"/>
                  <w:szCs w:val="20"/>
                </w:rPr>
                <w:t>Age of the fund (e</w:t>
              </w:r>
              <w:r>
                <w:rPr>
                  <w:rFonts w:cs="Arial"/>
                  <w:szCs w:val="20"/>
                </w:rPr>
                <w:t>.</w:t>
              </w:r>
              <w:r w:rsidRPr="004F3001">
                <w:rPr>
                  <w:rFonts w:cs="Arial"/>
                  <w:szCs w:val="20"/>
                </w:rPr>
                <w:t>g</w:t>
              </w:r>
              <w:r>
                <w:rPr>
                  <w:rFonts w:cs="Arial"/>
                  <w:szCs w:val="20"/>
                </w:rPr>
                <w:t>.</w:t>
              </w:r>
              <w:r w:rsidRPr="004F3001">
                <w:rPr>
                  <w:rFonts w:cs="Arial"/>
                  <w:szCs w:val="20"/>
                </w:rPr>
                <w:t xml:space="preserve"> older funds approaching run-off </w:t>
              </w:r>
              <w:r>
                <w:rPr>
                  <w:rFonts w:cs="Arial"/>
                  <w:szCs w:val="20"/>
                </w:rPr>
                <w:t>tend to</w:t>
              </w:r>
              <w:r w:rsidRPr="004F3001">
                <w:rPr>
                  <w:rFonts w:cs="Arial"/>
                  <w:szCs w:val="20"/>
                </w:rPr>
                <w:t xml:space="preserve"> have less prudence in future liabilities, </w:t>
              </w:r>
              <w:r>
                <w:rPr>
                  <w:rFonts w:cs="Arial"/>
                  <w:szCs w:val="20"/>
                </w:rPr>
                <w:t xml:space="preserve">whereas </w:t>
              </w:r>
              <w:r w:rsidRPr="004F3001">
                <w:rPr>
                  <w:rFonts w:cs="Arial"/>
                  <w:szCs w:val="20"/>
                </w:rPr>
                <w:t>younger funds may look to retain the excess for protection)</w:t>
              </w:r>
            </w:p>
            <w:p w14:paraId="0A9BEA33" w14:textId="77777777" w:rsidR="00501D3F" w:rsidRPr="004F3001" w:rsidRDefault="00501D3F">
              <w:pPr>
                <w:pStyle w:val="ListParagraph"/>
                <w:numPr>
                  <w:ilvl w:val="1"/>
                  <w:numId w:val="9"/>
                </w:numPr>
                <w:spacing w:after="240"/>
                <w:jc w:val="both"/>
                <w:rPr>
                  <w:rFonts w:cs="Arial"/>
                  <w:szCs w:val="20"/>
                </w:rPr>
              </w:pPr>
              <w:r w:rsidRPr="004F3001">
                <w:rPr>
                  <w:rFonts w:cs="Arial"/>
                  <w:szCs w:val="20"/>
                </w:rPr>
                <w:t xml:space="preserve">Whether </w:t>
              </w:r>
              <w:r>
                <w:rPr>
                  <w:rFonts w:cs="Arial"/>
                  <w:szCs w:val="20"/>
                </w:rPr>
                <w:t xml:space="preserve">a </w:t>
              </w:r>
              <w:r w:rsidRPr="004F3001">
                <w:rPr>
                  <w:rFonts w:cs="Arial"/>
                  <w:szCs w:val="20"/>
                </w:rPr>
                <w:t>mutual or not, and whether there is shareholder/parent company support in place</w:t>
              </w:r>
            </w:p>
            <w:p w14:paraId="1A7467B8" w14:textId="77777777" w:rsidR="00501D3F" w:rsidRPr="004F3001" w:rsidRDefault="00501D3F">
              <w:pPr>
                <w:pStyle w:val="ListParagraph"/>
                <w:numPr>
                  <w:ilvl w:val="1"/>
                  <w:numId w:val="9"/>
                </w:numPr>
                <w:spacing w:after="240"/>
                <w:jc w:val="both"/>
                <w:rPr>
                  <w:rFonts w:cs="Arial"/>
                  <w:szCs w:val="20"/>
                </w:rPr>
              </w:pPr>
              <w:r w:rsidRPr="004F3001">
                <w:rPr>
                  <w:rFonts w:cs="Arial"/>
                  <w:szCs w:val="20"/>
                </w:rPr>
                <w:t xml:space="preserve">Whether </w:t>
              </w:r>
              <w:r>
                <w:rPr>
                  <w:rFonts w:cs="Arial"/>
                  <w:szCs w:val="20"/>
                </w:rPr>
                <w:t>any</w:t>
              </w:r>
              <w:r w:rsidRPr="004F3001">
                <w:rPr>
                  <w:rFonts w:cs="Arial"/>
                  <w:szCs w:val="20"/>
                </w:rPr>
                <w:t xml:space="preserve"> distributions of the estate were made </w:t>
              </w:r>
              <w:r>
                <w:rPr>
                  <w:rFonts w:cs="Arial"/>
                  <w:szCs w:val="20"/>
                </w:rPr>
                <w:t>at demutualisation</w:t>
              </w:r>
              <w:r w:rsidRPr="004F3001">
                <w:rPr>
                  <w:rFonts w:cs="Arial"/>
                  <w:szCs w:val="20"/>
                </w:rPr>
                <w:t xml:space="preserve"> (</w:t>
              </w:r>
              <w:r w:rsidR="008351A8">
                <w:rPr>
                  <w:rFonts w:cs="Arial"/>
                  <w:szCs w:val="20"/>
                </w:rPr>
                <w:t xml:space="preserve">i.e. some of the excess assets at that time </w:t>
              </w:r>
              <w:r w:rsidR="00961881">
                <w:rPr>
                  <w:rFonts w:cs="Arial"/>
                  <w:szCs w:val="20"/>
                </w:rPr>
                <w:t xml:space="preserve">were </w:t>
              </w:r>
              <w:r w:rsidR="008351A8">
                <w:rPr>
                  <w:rFonts w:cs="Arial"/>
                  <w:szCs w:val="20"/>
                </w:rPr>
                <w:t>released as</w:t>
              </w:r>
              <w:r w:rsidRPr="004F3001">
                <w:rPr>
                  <w:rFonts w:cs="Arial"/>
                  <w:szCs w:val="20"/>
                </w:rPr>
                <w:t xml:space="preserve"> cash or shares in the new company)</w:t>
              </w:r>
            </w:p>
            <w:p w14:paraId="7EBBB25D" w14:textId="77777777" w:rsidR="00501D3F" w:rsidRPr="004F3001" w:rsidRDefault="00501D3F">
              <w:pPr>
                <w:pStyle w:val="ListParagraph"/>
                <w:numPr>
                  <w:ilvl w:val="1"/>
                  <w:numId w:val="9"/>
                </w:numPr>
                <w:spacing w:after="240"/>
                <w:jc w:val="both"/>
                <w:rPr>
                  <w:rFonts w:cs="Arial"/>
                  <w:szCs w:val="20"/>
                </w:rPr>
              </w:pPr>
              <w:r w:rsidRPr="004F3001">
                <w:rPr>
                  <w:rFonts w:cs="Arial"/>
                  <w:szCs w:val="20"/>
                </w:rPr>
                <w:t>Past distribution practices</w:t>
              </w:r>
              <w:r>
                <w:rPr>
                  <w:rFonts w:cs="Arial"/>
                  <w:szCs w:val="20"/>
                </w:rPr>
                <w:t>.</w:t>
              </w:r>
            </w:p>
            <w:p w14:paraId="1F22250C" w14:textId="5D664C8E" w:rsidR="008351A8" w:rsidRDefault="008351A8">
              <w:pPr>
                <w:spacing w:after="240"/>
                <w:contextualSpacing/>
                <w:jc w:val="both"/>
                <w:rPr>
                  <w:rFonts w:ascii="Arial" w:hAnsi="Arial" w:cs="Arial"/>
                  <w:sz w:val="20"/>
                  <w:szCs w:val="20"/>
                </w:rPr>
              </w:pPr>
            </w:p>
            <w:p w14:paraId="7BF3EECF" w14:textId="193554FC" w:rsidR="008351A8" w:rsidRDefault="008351A8">
              <w:pPr>
                <w:spacing w:after="240"/>
                <w:contextualSpacing/>
                <w:jc w:val="both"/>
                <w:rPr>
                  <w:rFonts w:ascii="Arial" w:hAnsi="Arial" w:cs="Arial"/>
                  <w:sz w:val="20"/>
                  <w:szCs w:val="20"/>
                </w:rPr>
              </w:pPr>
              <w:r>
                <w:rPr>
                  <w:rFonts w:ascii="Arial" w:hAnsi="Arial" w:cs="Arial"/>
                  <w:sz w:val="20"/>
                  <w:szCs w:val="20"/>
                </w:rPr>
                <w:t xml:space="preserve">Over time, similar non-profit unitised products and funds </w:t>
              </w:r>
              <w:r w:rsidR="003A15D3">
                <w:rPr>
                  <w:rFonts w:ascii="Arial" w:hAnsi="Arial" w:cs="Arial"/>
                  <w:sz w:val="20"/>
                  <w:szCs w:val="20"/>
                </w:rPr>
                <w:t>have increased in popularity</w:t>
              </w:r>
              <w:r>
                <w:rPr>
                  <w:rFonts w:ascii="Arial" w:hAnsi="Arial" w:cs="Arial"/>
                  <w:sz w:val="20"/>
                  <w:szCs w:val="20"/>
                </w:rPr>
                <w:t>, offering a similar chance to invest in a diverse range of assets, but without the added profits</w:t>
              </w:r>
              <w:r w:rsidR="00BB68B3">
                <w:rPr>
                  <w:rFonts w:ascii="Arial" w:hAnsi="Arial" w:cs="Arial"/>
                  <w:sz w:val="20"/>
                  <w:szCs w:val="20"/>
                </w:rPr>
                <w:t xml:space="preserve"> (and potential losses)</w:t>
              </w:r>
              <w:r>
                <w:rPr>
                  <w:rFonts w:ascii="Arial" w:hAnsi="Arial" w:cs="Arial"/>
                  <w:sz w:val="20"/>
                  <w:szCs w:val="20"/>
                </w:rPr>
                <w:t xml:space="preserve"> from the operation of the fund, and (generally) without guaranteed minimum values and smoothing of payout values. </w:t>
              </w:r>
            </w:p>
            <w:p w14:paraId="581D76E8" w14:textId="77777777" w:rsidR="008351A8" w:rsidRDefault="008351A8">
              <w:pPr>
                <w:spacing w:after="240"/>
                <w:contextualSpacing/>
                <w:jc w:val="both"/>
                <w:rPr>
                  <w:rFonts w:ascii="Arial" w:hAnsi="Arial" w:cs="Arial"/>
                  <w:sz w:val="20"/>
                  <w:szCs w:val="20"/>
                </w:rPr>
              </w:pPr>
            </w:p>
            <w:p w14:paraId="7D6777EC" w14:textId="77777777" w:rsidR="00501D3F" w:rsidRPr="004F3001" w:rsidRDefault="00501D3F">
              <w:pPr>
                <w:spacing w:after="240"/>
                <w:contextualSpacing/>
                <w:jc w:val="both"/>
                <w:rPr>
                  <w:rFonts w:ascii="Arial" w:hAnsi="Arial" w:cs="Arial"/>
                  <w:sz w:val="20"/>
                  <w:szCs w:val="20"/>
                </w:rPr>
              </w:pPr>
              <w:r>
                <w:rPr>
                  <w:rFonts w:ascii="Arial" w:hAnsi="Arial" w:cs="Arial"/>
                  <w:sz w:val="20"/>
                  <w:szCs w:val="20"/>
                </w:rPr>
                <w:t>W</w:t>
              </w:r>
              <w:r w:rsidRPr="004F3001">
                <w:rPr>
                  <w:rFonts w:ascii="Arial" w:hAnsi="Arial" w:cs="Arial"/>
                  <w:sz w:val="20"/>
                  <w:szCs w:val="20"/>
                </w:rPr>
                <w:t xml:space="preserve">ith-profits policies differ from unit-linked policies in two key ways: </w:t>
              </w:r>
            </w:p>
            <w:p w14:paraId="05708A2E" w14:textId="77777777" w:rsidR="00501D3F" w:rsidRPr="004F3001" w:rsidRDefault="00501D3F">
              <w:pPr>
                <w:pStyle w:val="ListParagraph"/>
                <w:numPr>
                  <w:ilvl w:val="0"/>
                  <w:numId w:val="10"/>
                </w:numPr>
                <w:spacing w:after="240"/>
                <w:jc w:val="both"/>
                <w:rPr>
                  <w:rFonts w:cs="Arial"/>
                  <w:szCs w:val="20"/>
                </w:rPr>
              </w:pPr>
              <w:r w:rsidRPr="004F3001">
                <w:rPr>
                  <w:rFonts w:cs="Arial"/>
                  <w:szCs w:val="20"/>
                </w:rPr>
                <w:t xml:space="preserve">The value of the underlying asset pool does not immediately flow through to the policyholder; payouts under the policy are subject to discretion </w:t>
              </w:r>
              <w:r>
                <w:rPr>
                  <w:rFonts w:cs="Arial"/>
                  <w:szCs w:val="20"/>
                </w:rPr>
                <w:t xml:space="preserve">(see figure 1 below) </w:t>
              </w:r>
              <w:r w:rsidRPr="004F3001">
                <w:rPr>
                  <w:rFonts w:cs="Arial"/>
                  <w:szCs w:val="20"/>
                </w:rPr>
                <w:t xml:space="preserve">applied by the firm and to product features such as guarantees, which are not present in pure unit linked policies. </w:t>
              </w:r>
            </w:p>
            <w:p w14:paraId="4971BA7C" w14:textId="1EEEE120" w:rsidR="00501D3F" w:rsidRDefault="00501D3F" w:rsidP="000230E1">
              <w:pPr>
                <w:pStyle w:val="ListParagraph"/>
                <w:numPr>
                  <w:ilvl w:val="0"/>
                  <w:numId w:val="10"/>
                </w:numPr>
                <w:spacing w:after="240"/>
                <w:jc w:val="both"/>
                <w:rPr>
                  <w:rFonts w:cs="Arial"/>
                  <w:szCs w:val="20"/>
                </w:rPr>
              </w:pPr>
              <w:r w:rsidRPr="004F3001">
                <w:rPr>
                  <w:rFonts w:cs="Arial"/>
                  <w:szCs w:val="20"/>
                </w:rPr>
                <w:t xml:space="preserve">In addition to </w:t>
              </w:r>
              <w:r>
                <w:rPr>
                  <w:rFonts w:cs="Arial"/>
                  <w:szCs w:val="20"/>
                </w:rPr>
                <w:t>returns on</w:t>
              </w:r>
              <w:r w:rsidRPr="004F3001">
                <w:rPr>
                  <w:rFonts w:cs="Arial"/>
                  <w:szCs w:val="20"/>
                </w:rPr>
                <w:t xml:space="preserve"> the invested assets, with</w:t>
              </w:r>
              <w:r>
                <w:rPr>
                  <w:rFonts w:cs="Arial"/>
                  <w:szCs w:val="20"/>
                </w:rPr>
                <w:t>-</w:t>
              </w:r>
              <w:r w:rsidRPr="004F3001">
                <w:rPr>
                  <w:rFonts w:cs="Arial"/>
                  <w:szCs w:val="20"/>
                </w:rPr>
                <w:t>profits policies may also receive a share of wider business profits (and losses). This can include profits from other with-profits policies, profit</w:t>
              </w:r>
              <w:r>
                <w:rPr>
                  <w:rFonts w:cs="Arial"/>
                  <w:szCs w:val="20"/>
                </w:rPr>
                <w:t>s</w:t>
              </w:r>
              <w:r w:rsidRPr="004F3001">
                <w:rPr>
                  <w:rFonts w:cs="Arial"/>
                  <w:szCs w:val="20"/>
                </w:rPr>
                <w:t xml:space="preserve"> </w:t>
              </w:r>
              <w:r>
                <w:rPr>
                  <w:rFonts w:cs="Arial"/>
                  <w:szCs w:val="20"/>
                </w:rPr>
                <w:t>from</w:t>
              </w:r>
              <w:r w:rsidRPr="004F3001">
                <w:rPr>
                  <w:rFonts w:cs="Arial"/>
                  <w:szCs w:val="20"/>
                </w:rPr>
                <w:t xml:space="preserve"> non-profit business</w:t>
              </w:r>
              <w:r>
                <w:rPr>
                  <w:rFonts w:cs="Arial"/>
                  <w:szCs w:val="20"/>
                </w:rPr>
                <w:t xml:space="preserve"> written in the same fund</w:t>
              </w:r>
              <w:r w:rsidR="00BB68B3">
                <w:rPr>
                  <w:rFonts w:cs="Arial"/>
                  <w:szCs w:val="20"/>
                </w:rPr>
                <w:t xml:space="preserve"> and </w:t>
              </w:r>
              <w:r w:rsidRPr="004F3001">
                <w:rPr>
                  <w:rFonts w:cs="Arial"/>
                  <w:szCs w:val="20"/>
                </w:rPr>
                <w:t xml:space="preserve"> subsidiaries.</w:t>
              </w:r>
              <w:r w:rsidR="00690A05">
                <w:rPr>
                  <w:rFonts w:cs="Arial"/>
                  <w:szCs w:val="20"/>
                </w:rPr>
                <w:t xml:space="preserve">  In addition, some funds may be paying distributions from their estate.</w:t>
              </w:r>
            </w:p>
            <w:p w14:paraId="2B0C1498" w14:textId="77777777" w:rsidR="00690A05" w:rsidRPr="000230E1" w:rsidRDefault="00690A05" w:rsidP="000230E1">
              <w:pPr>
                <w:spacing w:after="240"/>
                <w:ind w:left="360"/>
                <w:jc w:val="both"/>
                <w:rPr>
                  <w:rFonts w:cs="Arial"/>
                  <w:szCs w:val="20"/>
                </w:rPr>
              </w:pPr>
            </w:p>
            <w:p w14:paraId="097ED421" w14:textId="77777777" w:rsidR="00501D3F" w:rsidRPr="004F3001" w:rsidRDefault="00501D3F" w:rsidP="000230E1">
              <w:pPr>
                <w:spacing w:after="240"/>
                <w:rPr>
                  <w:rFonts w:ascii="Arial" w:hAnsi="Arial" w:cs="Arial"/>
                  <w:sz w:val="20"/>
                  <w:szCs w:val="20"/>
                </w:rPr>
              </w:pPr>
            </w:p>
            <w:p w14:paraId="619C9F59" w14:textId="77777777" w:rsidR="00690A05" w:rsidRDefault="00690A05" w:rsidP="000230E1">
              <w:pPr>
                <w:spacing w:after="240"/>
                <w:jc w:val="both"/>
                <w:rPr>
                  <w:rFonts w:ascii="Arial" w:hAnsi="Arial" w:cs="Arial"/>
                  <w:sz w:val="20"/>
                  <w:szCs w:val="20"/>
                </w:rPr>
              </w:pPr>
              <w:r>
                <w:rPr>
                  <w:rFonts w:ascii="Arial" w:hAnsi="Arial" w:cs="Arial"/>
                  <w:noProof/>
                  <w:sz w:val="20"/>
                  <w:szCs w:val="20"/>
                </w:rPr>
                <w:drawing>
                  <wp:inline distT="0" distB="0" distL="0" distR="0" wp14:anchorId="1376ED9E" wp14:editId="54867D2C">
                    <wp:extent cx="5731510" cy="2295455"/>
                    <wp:effectExtent l="19050" t="0" r="254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5731510" cy="2295455"/>
                            </a:xfrm>
                            <a:prstGeom prst="rect">
                              <a:avLst/>
                            </a:prstGeom>
                            <a:noFill/>
                            <a:ln w="9525">
                              <a:noFill/>
                              <a:miter lim="800000"/>
                              <a:headEnd/>
                              <a:tailEnd/>
                            </a:ln>
                          </pic:spPr>
                        </pic:pic>
                      </a:graphicData>
                    </a:graphic>
                  </wp:inline>
                </w:drawing>
              </w:r>
            </w:p>
            <w:p w14:paraId="5099FD5C" w14:textId="77777777" w:rsidR="00501D3F" w:rsidRDefault="00501D3F" w:rsidP="000230E1">
              <w:pPr>
                <w:spacing w:after="240"/>
                <w:jc w:val="both"/>
                <w:rPr>
                  <w:rFonts w:ascii="Arial" w:hAnsi="Arial" w:cs="Arial"/>
                  <w:sz w:val="20"/>
                  <w:szCs w:val="20"/>
                </w:rPr>
              </w:pPr>
              <w:r>
                <w:rPr>
                  <w:rFonts w:ascii="Arial" w:hAnsi="Arial" w:cs="Arial"/>
                  <w:sz w:val="20"/>
                  <w:szCs w:val="20"/>
                </w:rPr>
                <w:t xml:space="preserve">Figure 1: With-profits </w:t>
              </w:r>
              <w:r w:rsidR="00690A05">
                <w:rPr>
                  <w:rFonts w:ascii="Arial" w:hAnsi="Arial" w:cs="Arial"/>
                  <w:sz w:val="20"/>
                  <w:szCs w:val="20"/>
                </w:rPr>
                <w:t>vs Unit Linked</w:t>
              </w:r>
            </w:p>
            <w:p w14:paraId="3E999F11" w14:textId="77777777" w:rsidR="00501D3F" w:rsidRPr="004F3001" w:rsidRDefault="00501D3F" w:rsidP="000230E1">
              <w:pPr>
                <w:spacing w:after="240"/>
                <w:jc w:val="both"/>
                <w:rPr>
                  <w:rFonts w:ascii="Arial" w:hAnsi="Arial" w:cs="Arial"/>
                  <w:sz w:val="20"/>
                  <w:szCs w:val="20"/>
                </w:rPr>
              </w:pPr>
              <w:r w:rsidRPr="004F3001">
                <w:rPr>
                  <w:rFonts w:ascii="Arial" w:hAnsi="Arial" w:cs="Arial"/>
                  <w:sz w:val="20"/>
                  <w:szCs w:val="20"/>
                </w:rPr>
                <w:t>The key features of with-profits policies can provide significant benefits to policyholders. However</w:t>
              </w:r>
              <w:r>
                <w:rPr>
                  <w:rFonts w:ascii="Arial" w:hAnsi="Arial" w:cs="Arial"/>
                  <w:sz w:val="20"/>
                  <w:szCs w:val="20"/>
                </w:rPr>
                <w:t>,</w:t>
              </w:r>
              <w:r w:rsidRPr="004F3001">
                <w:rPr>
                  <w:rFonts w:ascii="Arial" w:hAnsi="Arial" w:cs="Arial"/>
                  <w:sz w:val="20"/>
                  <w:szCs w:val="20"/>
                </w:rPr>
                <w:t xml:space="preserve"> the communication of these </w:t>
              </w:r>
              <w:r>
                <w:rPr>
                  <w:rFonts w:ascii="Arial" w:hAnsi="Arial" w:cs="Arial"/>
                  <w:sz w:val="20"/>
                  <w:szCs w:val="20"/>
                </w:rPr>
                <w:t xml:space="preserve">complex </w:t>
              </w:r>
              <w:r w:rsidRPr="004F3001">
                <w:rPr>
                  <w:rFonts w:ascii="Arial" w:hAnsi="Arial" w:cs="Arial"/>
                  <w:sz w:val="20"/>
                  <w:szCs w:val="20"/>
                </w:rPr>
                <w:t xml:space="preserve">features is </w:t>
              </w:r>
              <w:r>
                <w:rPr>
                  <w:rFonts w:ascii="Arial" w:hAnsi="Arial" w:cs="Arial"/>
                  <w:sz w:val="20"/>
                  <w:szCs w:val="20"/>
                </w:rPr>
                <w:t>challenging because</w:t>
              </w:r>
              <w:r w:rsidRPr="004F3001">
                <w:rPr>
                  <w:rFonts w:ascii="Arial" w:hAnsi="Arial" w:cs="Arial"/>
                  <w:sz w:val="20"/>
                  <w:szCs w:val="20"/>
                </w:rPr>
                <w:t xml:space="preserve">: </w:t>
              </w:r>
            </w:p>
            <w:p w14:paraId="2678378E" w14:textId="77777777" w:rsidR="00501D3F" w:rsidRPr="004F3001" w:rsidRDefault="00501D3F">
              <w:pPr>
                <w:pStyle w:val="ListParagraph"/>
                <w:numPr>
                  <w:ilvl w:val="0"/>
                  <w:numId w:val="11"/>
                </w:numPr>
                <w:spacing w:after="240"/>
                <w:jc w:val="both"/>
                <w:rPr>
                  <w:rFonts w:cs="Arial"/>
                  <w:szCs w:val="20"/>
                </w:rPr>
              </w:pPr>
              <w:r w:rsidRPr="004F3001">
                <w:rPr>
                  <w:rFonts w:cs="Arial"/>
                  <w:szCs w:val="20"/>
                </w:rPr>
                <w:t>Within any one fund there are additional, specific features that need to be communicated to policyholders</w:t>
              </w:r>
              <w:r w:rsidR="00690A05">
                <w:rPr>
                  <w:rFonts w:cs="Arial"/>
                  <w:szCs w:val="20"/>
                </w:rPr>
                <w:t>.  In particular, the underlying investment mix and bonus policies can vary widely by fund.</w:t>
              </w:r>
            </w:p>
            <w:p w14:paraId="6CF7F709" w14:textId="77777777" w:rsidR="00501D3F" w:rsidRPr="004F3001" w:rsidRDefault="00501D3F">
              <w:pPr>
                <w:pStyle w:val="ListParagraph"/>
                <w:numPr>
                  <w:ilvl w:val="0"/>
                  <w:numId w:val="11"/>
                </w:numPr>
                <w:spacing w:after="240"/>
                <w:jc w:val="both"/>
                <w:rPr>
                  <w:rFonts w:cs="Arial"/>
                  <w:szCs w:val="20"/>
                </w:rPr>
              </w:pPr>
              <w:r w:rsidRPr="004F3001">
                <w:rPr>
                  <w:rFonts w:cs="Arial"/>
                  <w:szCs w:val="20"/>
                </w:rPr>
                <w:t xml:space="preserve">Different providers will have different practices and methods of assessing value, distributing profits and calculating payouts </w:t>
              </w:r>
            </w:p>
            <w:p w14:paraId="7FCCF3CD" w14:textId="77777777" w:rsidR="00501D3F" w:rsidRPr="004F3001" w:rsidRDefault="00501D3F">
              <w:pPr>
                <w:pStyle w:val="ListParagraph"/>
                <w:numPr>
                  <w:ilvl w:val="0"/>
                  <w:numId w:val="11"/>
                </w:numPr>
                <w:spacing w:after="240"/>
                <w:jc w:val="both"/>
                <w:rPr>
                  <w:rFonts w:cs="Arial"/>
                  <w:szCs w:val="20"/>
                </w:rPr>
              </w:pPr>
              <w:r w:rsidRPr="004F3001">
                <w:rPr>
                  <w:rFonts w:cs="Arial"/>
                  <w:szCs w:val="20"/>
                </w:rPr>
                <w:t>The relative importance of these features varies between funds so</w:t>
              </w:r>
              <w:r>
                <w:rPr>
                  <w:rFonts w:cs="Arial"/>
                  <w:szCs w:val="20"/>
                </w:rPr>
                <w:t xml:space="preserve"> </w:t>
              </w:r>
              <w:r w:rsidRPr="004F3001">
                <w:rPr>
                  <w:rFonts w:cs="Arial"/>
                  <w:szCs w:val="20"/>
                </w:rPr>
                <w:t>it is difficult to compare.</w:t>
              </w:r>
            </w:p>
            <w:p w14:paraId="74B1F016" w14:textId="77777777" w:rsidR="00DA62CD" w:rsidRDefault="00501D3F">
              <w:pPr>
                <w:spacing w:after="240"/>
                <w:jc w:val="both"/>
                <w:rPr>
                  <w:rFonts w:ascii="Arial" w:hAnsi="Arial" w:cs="Arial"/>
                  <w:sz w:val="20"/>
                  <w:szCs w:val="20"/>
                </w:rPr>
              </w:pPr>
              <w:r w:rsidRPr="004F3001">
                <w:rPr>
                  <w:rFonts w:ascii="Arial" w:hAnsi="Arial" w:cs="Arial"/>
                  <w:sz w:val="20"/>
                  <w:szCs w:val="20"/>
                </w:rPr>
                <w:t>This complexity can be managed in a number of ways</w:t>
              </w:r>
              <w:r w:rsidR="00DA62CD">
                <w:rPr>
                  <w:rFonts w:ascii="Arial" w:hAnsi="Arial" w:cs="Arial"/>
                  <w:sz w:val="20"/>
                  <w:szCs w:val="20"/>
                </w:rPr>
                <w:t xml:space="preserve"> and the onus is on funds to ensure their approach in terms of communication and their valuation and payout methodology lead to fair and transparent customer outcomes</w:t>
              </w:r>
              <w:r w:rsidRPr="004F3001">
                <w:rPr>
                  <w:rFonts w:ascii="Arial" w:hAnsi="Arial" w:cs="Arial"/>
                  <w:sz w:val="20"/>
                  <w:szCs w:val="20"/>
                </w:rPr>
                <w:t xml:space="preserve">. </w:t>
              </w:r>
            </w:p>
            <w:p w14:paraId="69547C7E" w14:textId="77777777" w:rsidR="00501D3F" w:rsidRPr="004F3001" w:rsidRDefault="00501D3F">
              <w:pPr>
                <w:spacing w:after="240"/>
                <w:jc w:val="both"/>
                <w:rPr>
                  <w:rFonts w:ascii="Arial" w:hAnsi="Arial" w:cs="Arial"/>
                  <w:sz w:val="20"/>
                  <w:szCs w:val="20"/>
                </w:rPr>
              </w:pPr>
              <w:r w:rsidRPr="004F3001">
                <w:rPr>
                  <w:rFonts w:ascii="Arial" w:hAnsi="Arial" w:cs="Arial"/>
                  <w:sz w:val="20"/>
                  <w:szCs w:val="20"/>
                </w:rPr>
                <w:t xml:space="preserve">Typical approaches to </w:t>
              </w:r>
              <w:r w:rsidR="00CD5CCF">
                <w:rPr>
                  <w:rFonts w:ascii="Arial" w:hAnsi="Arial" w:cs="Arial"/>
                  <w:sz w:val="20"/>
                  <w:szCs w:val="20"/>
                </w:rPr>
                <w:t xml:space="preserve">achieving </w:t>
              </w:r>
              <w:r w:rsidRPr="004F3001">
                <w:rPr>
                  <w:rFonts w:ascii="Arial" w:hAnsi="Arial" w:cs="Arial"/>
                  <w:sz w:val="20"/>
                  <w:szCs w:val="20"/>
                </w:rPr>
                <w:t xml:space="preserve">customer fairness include: </w:t>
              </w:r>
            </w:p>
            <w:p w14:paraId="6938DB64" w14:textId="77777777" w:rsidR="00501D3F" w:rsidRDefault="00501D3F">
              <w:pPr>
                <w:pStyle w:val="ListParagraph"/>
                <w:numPr>
                  <w:ilvl w:val="0"/>
                  <w:numId w:val="12"/>
                </w:numPr>
                <w:spacing w:after="240"/>
                <w:jc w:val="both"/>
                <w:rPr>
                  <w:rFonts w:cs="Arial"/>
                  <w:szCs w:val="20"/>
                </w:rPr>
              </w:pPr>
              <w:r w:rsidRPr="004F3001">
                <w:rPr>
                  <w:rFonts w:cs="Arial"/>
                  <w:szCs w:val="20"/>
                </w:rPr>
                <w:t>Stronger governance requirements within firms for with</w:t>
              </w:r>
              <w:r>
                <w:rPr>
                  <w:rFonts w:cs="Arial"/>
                  <w:szCs w:val="20"/>
                </w:rPr>
                <w:t>-</w:t>
              </w:r>
              <w:r w:rsidRPr="004F3001">
                <w:rPr>
                  <w:rFonts w:cs="Arial"/>
                  <w:szCs w:val="20"/>
                </w:rPr>
                <w:t>profits policies to ensure that decisions are made in the best interests of with-profits policyholders</w:t>
              </w:r>
            </w:p>
            <w:p w14:paraId="45458191" w14:textId="77777777" w:rsidR="00DA62CD" w:rsidRPr="004F3001" w:rsidRDefault="00DA62CD">
              <w:pPr>
                <w:pStyle w:val="ListParagraph"/>
                <w:numPr>
                  <w:ilvl w:val="0"/>
                  <w:numId w:val="12"/>
                </w:numPr>
                <w:spacing w:after="240"/>
                <w:jc w:val="both"/>
                <w:rPr>
                  <w:rFonts w:cs="Arial"/>
                  <w:szCs w:val="20"/>
                </w:rPr>
              </w:pPr>
              <w:r>
                <w:rPr>
                  <w:rFonts w:cs="Arial"/>
                  <w:szCs w:val="20"/>
                </w:rPr>
                <w:t>Analysing current and emerging cross subsidies to ensure no groups of policyholders are being treated unfairly compared to others</w:t>
              </w:r>
            </w:p>
            <w:p w14:paraId="16886348" w14:textId="77777777" w:rsidR="00501D3F" w:rsidRPr="004F3001" w:rsidRDefault="00501D3F">
              <w:pPr>
                <w:pStyle w:val="ListParagraph"/>
                <w:numPr>
                  <w:ilvl w:val="0"/>
                  <w:numId w:val="12"/>
                </w:numPr>
                <w:spacing w:after="240"/>
                <w:jc w:val="both"/>
                <w:rPr>
                  <w:rFonts w:cs="Arial"/>
                  <w:szCs w:val="20"/>
                </w:rPr>
              </w:pPr>
              <w:r>
                <w:rPr>
                  <w:rFonts w:cs="Arial"/>
                  <w:szCs w:val="20"/>
                </w:rPr>
                <w:t>C</w:t>
              </w:r>
              <w:r w:rsidRPr="004F3001">
                <w:rPr>
                  <w:rFonts w:cs="Arial"/>
                  <w:szCs w:val="20"/>
                </w:rPr>
                <w:t xml:space="preserve">lear communication with policyholders. </w:t>
              </w:r>
            </w:p>
            <w:p w14:paraId="09557F33" w14:textId="77777777" w:rsidR="00501D3F" w:rsidRPr="004F3001" w:rsidRDefault="00501D3F">
              <w:pPr>
                <w:spacing w:after="240"/>
                <w:jc w:val="both"/>
                <w:rPr>
                  <w:rFonts w:ascii="Arial" w:hAnsi="Arial" w:cs="Arial"/>
                  <w:b/>
                  <w:sz w:val="20"/>
                  <w:szCs w:val="20"/>
                </w:rPr>
              </w:pPr>
            </w:p>
            <w:p w14:paraId="2FFD8A4A" w14:textId="4D3F4564" w:rsidR="00501D3F" w:rsidRPr="004F3001" w:rsidRDefault="00501D3F">
              <w:pPr>
                <w:spacing w:after="240"/>
                <w:jc w:val="both"/>
                <w:rPr>
                  <w:rFonts w:ascii="Arial" w:hAnsi="Arial" w:cs="Arial"/>
                  <w:b/>
                  <w:sz w:val="20"/>
                  <w:szCs w:val="20"/>
                </w:rPr>
              </w:pPr>
              <w:r w:rsidRPr="004F3001">
                <w:rPr>
                  <w:rFonts w:ascii="Arial" w:hAnsi="Arial" w:cs="Arial"/>
                  <w:b/>
                  <w:sz w:val="20"/>
                  <w:szCs w:val="20"/>
                </w:rPr>
                <w:t>2.</w:t>
              </w:r>
              <w:r w:rsidR="00993C66">
                <w:rPr>
                  <w:rFonts w:ascii="Arial" w:hAnsi="Arial" w:cs="Arial"/>
                  <w:b/>
                  <w:sz w:val="20"/>
                  <w:szCs w:val="20"/>
                </w:rPr>
                <w:t>5</w:t>
              </w:r>
              <w:r w:rsidRPr="004F3001">
                <w:rPr>
                  <w:rFonts w:ascii="Arial" w:hAnsi="Arial" w:cs="Arial"/>
                  <w:b/>
                  <w:sz w:val="20"/>
                  <w:szCs w:val="20"/>
                </w:rPr>
                <w:t xml:space="preserve"> Performance of with-profits</w:t>
              </w:r>
            </w:p>
            <w:p w14:paraId="2CAF0CA7" w14:textId="77777777" w:rsidR="00501D3F" w:rsidRPr="004F3001" w:rsidRDefault="00501D3F">
              <w:pPr>
                <w:spacing w:after="240"/>
                <w:jc w:val="both"/>
                <w:rPr>
                  <w:rFonts w:ascii="Arial" w:hAnsi="Arial" w:cs="Arial"/>
                  <w:sz w:val="20"/>
                  <w:szCs w:val="20"/>
                </w:rPr>
              </w:pPr>
              <w:r w:rsidRPr="004F3001">
                <w:rPr>
                  <w:rFonts w:ascii="Arial" w:hAnsi="Arial" w:cs="Arial"/>
                  <w:sz w:val="20"/>
                  <w:szCs w:val="20"/>
                </w:rPr>
                <w:t>A recent Willis Towers Watson survey</w:t>
              </w:r>
              <w:r w:rsidRPr="004F3001">
                <w:rPr>
                  <w:rStyle w:val="FootnoteReference"/>
                  <w:rFonts w:ascii="Arial" w:hAnsi="Arial" w:cs="Arial"/>
                  <w:sz w:val="20"/>
                  <w:szCs w:val="20"/>
                </w:rPr>
                <w:footnoteReference w:id="7"/>
              </w:r>
              <w:r w:rsidRPr="004F3001">
                <w:rPr>
                  <w:rFonts w:ascii="Arial" w:hAnsi="Arial" w:cs="Arial"/>
                  <w:sz w:val="20"/>
                  <w:szCs w:val="20"/>
                </w:rPr>
                <w:t xml:space="preserve"> </w:t>
              </w:r>
              <w:commentRangeStart w:id="0"/>
              <w:r w:rsidRPr="004F3001">
                <w:rPr>
                  <w:rFonts w:ascii="Arial" w:hAnsi="Arial" w:cs="Arial"/>
                  <w:sz w:val="20"/>
                  <w:szCs w:val="20"/>
                </w:rPr>
                <w:t>investigated</w:t>
              </w:r>
              <w:commentRangeEnd w:id="0"/>
              <w:r w:rsidR="00690A05">
                <w:rPr>
                  <w:rStyle w:val="CommentReference"/>
                  <w:rFonts w:ascii="Times New Roman" w:eastAsia="Times New Roman" w:hAnsi="Times New Roman" w:cs="Times New Roman"/>
                </w:rPr>
                <w:commentReference w:id="0"/>
              </w:r>
              <w:r w:rsidRPr="004F3001">
                <w:rPr>
                  <w:rFonts w:ascii="Arial" w:hAnsi="Arial" w:cs="Arial"/>
                  <w:sz w:val="20"/>
                  <w:szCs w:val="20"/>
                </w:rPr>
                <w:t xml:space="preserve"> the influence of a number of factors on with-profits payouts: </w:t>
              </w:r>
            </w:p>
            <w:p w14:paraId="52853F5A" w14:textId="77777777" w:rsidR="00501D3F" w:rsidRPr="004F3001" w:rsidRDefault="00501D3F">
              <w:pPr>
                <w:pStyle w:val="ListParagraph"/>
                <w:numPr>
                  <w:ilvl w:val="0"/>
                  <w:numId w:val="13"/>
                </w:numPr>
                <w:spacing w:after="240"/>
                <w:jc w:val="both"/>
                <w:rPr>
                  <w:rFonts w:cs="Arial"/>
                  <w:szCs w:val="20"/>
                </w:rPr>
              </w:pPr>
              <w:r w:rsidRPr="004F3001">
                <w:rPr>
                  <w:rFonts w:cs="Arial"/>
                  <w:szCs w:val="20"/>
                </w:rPr>
                <w:t>Returns on the invested assets</w:t>
              </w:r>
            </w:p>
            <w:p w14:paraId="5CDC53FC" w14:textId="77777777" w:rsidR="00501D3F" w:rsidRPr="004F3001" w:rsidRDefault="00501D3F">
              <w:pPr>
                <w:pStyle w:val="ListParagraph"/>
                <w:numPr>
                  <w:ilvl w:val="0"/>
                  <w:numId w:val="13"/>
                </w:numPr>
                <w:spacing w:after="240"/>
                <w:jc w:val="both"/>
                <w:rPr>
                  <w:rFonts w:cs="Arial"/>
                  <w:szCs w:val="20"/>
                </w:rPr>
              </w:pPr>
              <w:r w:rsidRPr="004F3001">
                <w:rPr>
                  <w:rFonts w:cs="Arial"/>
                  <w:szCs w:val="20"/>
                </w:rPr>
                <w:t>Charges and expenses</w:t>
              </w:r>
            </w:p>
            <w:p w14:paraId="0B8EC0CB" w14:textId="77777777" w:rsidR="00501D3F" w:rsidRPr="004F3001" w:rsidRDefault="00501D3F">
              <w:pPr>
                <w:pStyle w:val="ListParagraph"/>
                <w:numPr>
                  <w:ilvl w:val="0"/>
                  <w:numId w:val="13"/>
                </w:numPr>
                <w:spacing w:after="240"/>
                <w:jc w:val="both"/>
                <w:rPr>
                  <w:rFonts w:cs="Arial"/>
                  <w:szCs w:val="20"/>
                </w:rPr>
              </w:pPr>
              <w:r w:rsidRPr="004F3001">
                <w:rPr>
                  <w:rFonts w:cs="Arial"/>
                  <w:szCs w:val="20"/>
                </w:rPr>
                <w:t xml:space="preserve">Estate Distributions </w:t>
              </w:r>
            </w:p>
            <w:p w14:paraId="7E86E1D7" w14:textId="77777777" w:rsidR="00501D3F" w:rsidRPr="004F3001" w:rsidRDefault="00501D3F">
              <w:pPr>
                <w:pStyle w:val="ListParagraph"/>
                <w:numPr>
                  <w:ilvl w:val="0"/>
                  <w:numId w:val="13"/>
                </w:numPr>
                <w:spacing w:after="240"/>
                <w:jc w:val="both"/>
                <w:rPr>
                  <w:rFonts w:cs="Arial"/>
                  <w:szCs w:val="20"/>
                </w:rPr>
              </w:pPr>
              <w:r w:rsidRPr="004F3001">
                <w:rPr>
                  <w:rFonts w:cs="Arial"/>
                  <w:szCs w:val="20"/>
                </w:rPr>
                <w:t>Impact of smoothing and guarantees</w:t>
              </w:r>
            </w:p>
            <w:p w14:paraId="1792FADB" w14:textId="77777777" w:rsidR="00501D3F" w:rsidRPr="004F3001" w:rsidRDefault="00501D3F">
              <w:pPr>
                <w:pStyle w:val="ListParagraph"/>
                <w:numPr>
                  <w:ilvl w:val="0"/>
                  <w:numId w:val="13"/>
                </w:numPr>
                <w:spacing w:after="240"/>
                <w:jc w:val="both"/>
                <w:rPr>
                  <w:rFonts w:cs="Arial"/>
                  <w:szCs w:val="20"/>
                </w:rPr>
              </w:pPr>
              <w:r w:rsidRPr="004F3001">
                <w:rPr>
                  <w:rFonts w:cs="Arial"/>
                  <w:szCs w:val="20"/>
                </w:rPr>
                <w:t>“Other” factors</w:t>
              </w:r>
            </w:p>
            <w:p w14:paraId="7CAE5FDF" w14:textId="77777777" w:rsidR="00501D3F" w:rsidRPr="004F3001" w:rsidRDefault="00501D3F">
              <w:pPr>
                <w:spacing w:after="240"/>
                <w:jc w:val="both"/>
                <w:rPr>
                  <w:rFonts w:ascii="Arial" w:hAnsi="Arial" w:cs="Arial"/>
                  <w:sz w:val="20"/>
                  <w:szCs w:val="20"/>
                </w:rPr>
              </w:pPr>
              <w:r w:rsidRPr="004F3001">
                <w:rPr>
                  <w:rFonts w:ascii="Arial" w:hAnsi="Arial" w:cs="Arial"/>
                  <w:sz w:val="20"/>
                  <w:szCs w:val="20"/>
                </w:rPr>
                <w:t xml:space="preserve">The clear conclusion drawn from this survey is that investment returns are, understandably, the biggest contributor to policy values. However, in low interest, low investment conditions, focus should be on returns </w:t>
              </w:r>
              <w:r w:rsidRPr="004F3001">
                <w:rPr>
                  <w:rFonts w:ascii="Arial" w:hAnsi="Arial" w:cs="Arial"/>
                  <w:i/>
                  <w:sz w:val="20"/>
                  <w:szCs w:val="20"/>
                </w:rPr>
                <w:t>net of charges</w:t>
              </w:r>
              <w:r w:rsidRPr="004F3001">
                <w:rPr>
                  <w:rFonts w:ascii="Arial" w:hAnsi="Arial" w:cs="Arial"/>
                  <w:sz w:val="20"/>
                  <w:szCs w:val="20"/>
                </w:rPr>
                <w:t xml:space="preserve"> </w:t>
              </w:r>
              <w:r>
                <w:rPr>
                  <w:rFonts w:ascii="Arial" w:hAnsi="Arial" w:cs="Arial"/>
                  <w:sz w:val="20"/>
                  <w:szCs w:val="20"/>
                </w:rPr>
                <w:t xml:space="preserve">– </w:t>
              </w:r>
              <w:r w:rsidRPr="004F3001">
                <w:rPr>
                  <w:rFonts w:ascii="Arial" w:hAnsi="Arial" w:cs="Arial"/>
                  <w:sz w:val="20"/>
                  <w:szCs w:val="20"/>
                </w:rPr>
                <w:t xml:space="preserve">looking to maximise returns on investment but also to minimise the impact of charges and expenses – in order to deliver overall value for customers.  </w:t>
              </w:r>
              <w:r w:rsidR="00DA62CD">
                <w:rPr>
                  <w:rFonts w:ascii="Arial" w:hAnsi="Arial" w:cs="Arial"/>
                  <w:sz w:val="20"/>
                  <w:szCs w:val="20"/>
                </w:rPr>
                <w:t xml:space="preserve">While the same is true for other product types, such as unit-linked business, there is a tacit </w:t>
              </w:r>
              <w:r w:rsidR="00FC35B7">
                <w:rPr>
                  <w:rFonts w:ascii="Arial" w:hAnsi="Arial" w:cs="Arial"/>
                  <w:sz w:val="20"/>
                  <w:szCs w:val="20"/>
                </w:rPr>
                <w:t>agreement that the company will try to get the best outcomes for customers across all allowable asset classes, whereas unit-linked funds tend to operate across smaller ranges of assets and the investment choice is more in the policyholder’s control.</w:t>
              </w:r>
            </w:p>
            <w:p w14:paraId="48A0F6AE" w14:textId="4643E401" w:rsidR="00501D3F" w:rsidRDefault="00501D3F">
              <w:pPr>
                <w:spacing w:after="240"/>
                <w:jc w:val="both"/>
                <w:rPr>
                  <w:rFonts w:ascii="Arial" w:hAnsi="Arial" w:cs="Arial"/>
                  <w:sz w:val="20"/>
                  <w:szCs w:val="20"/>
                </w:rPr>
              </w:pPr>
              <w:r w:rsidRPr="004F3001">
                <w:rPr>
                  <w:rFonts w:ascii="Arial" w:hAnsi="Arial" w:cs="Arial"/>
                  <w:sz w:val="20"/>
                  <w:szCs w:val="20"/>
                </w:rPr>
                <w:t>The survey highlights the sheer breadth of product offerings</w:t>
              </w:r>
              <w:r w:rsidR="004829C1">
                <w:rPr>
                  <w:rFonts w:ascii="Arial" w:hAnsi="Arial" w:cs="Arial"/>
                  <w:sz w:val="20"/>
                  <w:szCs w:val="20"/>
                </w:rPr>
                <w:t xml:space="preserve"> and performance</w:t>
              </w:r>
              <w:r w:rsidRPr="004F3001">
                <w:rPr>
                  <w:rFonts w:ascii="Arial" w:hAnsi="Arial" w:cs="Arial"/>
                  <w:sz w:val="20"/>
                  <w:szCs w:val="20"/>
                </w:rPr>
                <w:t xml:space="preserve">, as well as investment mixes and company/fund practices being considered under the “with-profits” umbrella.  </w:t>
              </w:r>
              <w:r w:rsidR="00FC35B7">
                <w:rPr>
                  <w:rFonts w:ascii="Arial" w:hAnsi="Arial" w:cs="Arial"/>
                  <w:sz w:val="20"/>
                  <w:szCs w:val="20"/>
                </w:rPr>
                <w:t xml:space="preserve">For all product, frequency and term combinations, there is a large range of </w:t>
              </w:r>
              <w:r w:rsidR="004829C1">
                <w:rPr>
                  <w:rFonts w:ascii="Arial" w:hAnsi="Arial" w:cs="Arial"/>
                  <w:sz w:val="20"/>
                  <w:szCs w:val="20"/>
                </w:rPr>
                <w:t xml:space="preserve">payout </w:t>
              </w:r>
              <w:r w:rsidR="00FC35B7">
                <w:rPr>
                  <w:rFonts w:ascii="Arial" w:hAnsi="Arial" w:cs="Arial"/>
                  <w:sz w:val="20"/>
                  <w:szCs w:val="20"/>
                </w:rPr>
                <w:t xml:space="preserve">values across providers.  </w:t>
              </w:r>
              <w:r w:rsidRPr="004F3001">
                <w:rPr>
                  <w:rFonts w:ascii="Arial" w:hAnsi="Arial" w:cs="Arial"/>
                  <w:sz w:val="20"/>
                  <w:szCs w:val="20"/>
                </w:rPr>
                <w:t>This is further evidenced by comparing the highest and lowest payout values from another survey, the annual Money Management survey</w:t>
              </w:r>
              <w:r w:rsidRPr="004F3001">
                <w:rPr>
                  <w:rStyle w:val="FootnoteReference"/>
                  <w:rFonts w:ascii="Arial" w:hAnsi="Arial" w:cs="Arial"/>
                  <w:sz w:val="20"/>
                  <w:szCs w:val="20"/>
                </w:rPr>
                <w:footnoteReference w:id="8"/>
              </w:r>
              <w:r>
                <w:rPr>
                  <w:rFonts w:ascii="Arial" w:hAnsi="Arial" w:cs="Arial"/>
                  <w:sz w:val="20"/>
                  <w:szCs w:val="20"/>
                </w:rPr>
                <w:t>, which</w:t>
              </w:r>
              <w:r w:rsidRPr="004F3001">
                <w:rPr>
                  <w:rFonts w:ascii="Arial" w:hAnsi="Arial" w:cs="Arial"/>
                  <w:sz w:val="20"/>
                  <w:szCs w:val="20"/>
                </w:rPr>
                <w:t xml:space="preserve"> shows that </w:t>
              </w:r>
              <w:r w:rsidR="00FC35B7">
                <w:rPr>
                  <w:rFonts w:ascii="Arial" w:hAnsi="Arial" w:cs="Arial"/>
                  <w:sz w:val="20"/>
                  <w:szCs w:val="20"/>
                </w:rPr>
                <w:t xml:space="preserve">the </w:t>
              </w:r>
              <w:r w:rsidRPr="004F3001">
                <w:rPr>
                  <w:rFonts w:ascii="Arial" w:hAnsi="Arial" w:cs="Arial"/>
                  <w:sz w:val="20"/>
                  <w:szCs w:val="20"/>
                </w:rPr>
                <w:t xml:space="preserve">payout on the top </w:t>
              </w:r>
              <w:r w:rsidR="00FC35B7">
                <w:rPr>
                  <w:rFonts w:ascii="Arial" w:hAnsi="Arial" w:cs="Arial"/>
                  <w:sz w:val="20"/>
                  <w:szCs w:val="20"/>
                </w:rPr>
                <w:t xml:space="preserve">performing with-profits </w:t>
              </w:r>
              <w:r w:rsidRPr="004F3001">
                <w:rPr>
                  <w:rFonts w:ascii="Arial" w:hAnsi="Arial" w:cs="Arial"/>
                  <w:sz w:val="20"/>
                  <w:szCs w:val="20"/>
                </w:rPr>
                <w:t xml:space="preserve">fund can be over three times that of the bottom </w:t>
              </w:r>
              <w:r w:rsidR="00FC35B7">
                <w:rPr>
                  <w:rFonts w:ascii="Arial" w:hAnsi="Arial" w:cs="Arial"/>
                  <w:sz w:val="20"/>
                  <w:szCs w:val="20"/>
                </w:rPr>
                <w:t xml:space="preserve">with-profits </w:t>
              </w:r>
              <w:r w:rsidRPr="004F3001">
                <w:rPr>
                  <w:rFonts w:ascii="Arial" w:hAnsi="Arial" w:cs="Arial"/>
                  <w:sz w:val="20"/>
                  <w:szCs w:val="20"/>
                </w:rPr>
                <w:t>fund</w:t>
              </w:r>
              <w:r w:rsidRPr="004F3001">
                <w:rPr>
                  <w:rStyle w:val="FootnoteReference"/>
                  <w:rFonts w:ascii="Arial" w:hAnsi="Arial" w:cs="Arial"/>
                  <w:sz w:val="20"/>
                  <w:szCs w:val="20"/>
                </w:rPr>
                <w:footnoteReference w:id="9"/>
              </w:r>
              <w:r w:rsidRPr="004F3001">
                <w:rPr>
                  <w:rFonts w:ascii="Arial" w:hAnsi="Arial" w:cs="Arial"/>
                  <w:sz w:val="20"/>
                  <w:szCs w:val="20"/>
                </w:rPr>
                <w:t>.</w:t>
              </w:r>
            </w:p>
            <w:p w14:paraId="272BEEB4" w14:textId="42C32852" w:rsidR="00501D3F" w:rsidRPr="004F3001" w:rsidRDefault="00501D3F">
              <w:pPr>
                <w:spacing w:after="240"/>
                <w:jc w:val="both"/>
                <w:rPr>
                  <w:rFonts w:ascii="Arial" w:hAnsi="Arial" w:cs="Arial"/>
                  <w:sz w:val="20"/>
                  <w:szCs w:val="20"/>
                </w:rPr>
              </w:pPr>
              <w:r w:rsidRPr="004F3001">
                <w:rPr>
                  <w:rFonts w:ascii="Arial" w:hAnsi="Arial" w:cs="Arial"/>
                  <w:sz w:val="20"/>
                  <w:szCs w:val="20"/>
                </w:rPr>
                <w:t xml:space="preserve">The level of enhancements from the estate also varies quite significantly, both between providers and over time. </w:t>
              </w:r>
              <w:r w:rsidR="00CD5CCF">
                <w:rPr>
                  <w:rFonts w:ascii="Arial" w:hAnsi="Arial" w:cs="Arial"/>
                  <w:sz w:val="20"/>
                  <w:szCs w:val="20"/>
                </w:rPr>
                <w:t>It is un</w:t>
              </w:r>
              <w:r w:rsidRPr="004F3001">
                <w:rPr>
                  <w:rFonts w:ascii="Arial" w:hAnsi="Arial" w:cs="Arial"/>
                  <w:sz w:val="20"/>
                  <w:szCs w:val="20"/>
                </w:rPr>
                <w:t xml:space="preserve">clear whether this is due to longer term policies receiving a greater share of the excess assets (in reward for longer participation) </w:t>
              </w:r>
              <w:commentRangeStart w:id="1"/>
              <w:r w:rsidRPr="004F3001">
                <w:rPr>
                  <w:rFonts w:ascii="Arial" w:hAnsi="Arial" w:cs="Arial"/>
                  <w:sz w:val="20"/>
                  <w:szCs w:val="20"/>
                </w:rPr>
                <w:t>or simply by dint of having larger fund values</w:t>
              </w:r>
              <w:r w:rsidR="002C00E1">
                <w:rPr>
                  <w:rFonts w:ascii="Arial" w:hAnsi="Arial" w:cs="Arial"/>
                  <w:sz w:val="20"/>
                  <w:szCs w:val="20"/>
                </w:rPr>
                <w:t>, or a different methodology for distributing</w:t>
              </w:r>
              <w:r w:rsidR="00031E1C">
                <w:rPr>
                  <w:rFonts w:ascii="Arial" w:hAnsi="Arial" w:cs="Arial"/>
                  <w:sz w:val="20"/>
                  <w:szCs w:val="20"/>
                </w:rPr>
                <w:t xml:space="preserve"> the estate</w:t>
              </w:r>
              <w:commentRangeEnd w:id="1"/>
              <w:r w:rsidR="00CD5CCF">
                <w:rPr>
                  <w:rStyle w:val="CommentReference"/>
                  <w:rFonts w:ascii="Times New Roman" w:eastAsia="Times New Roman" w:hAnsi="Times New Roman" w:cs="Times New Roman"/>
                </w:rPr>
                <w:commentReference w:id="1"/>
              </w:r>
              <w:r w:rsidRPr="004F3001">
                <w:rPr>
                  <w:rFonts w:ascii="Arial" w:hAnsi="Arial" w:cs="Arial"/>
                  <w:sz w:val="20"/>
                  <w:szCs w:val="20"/>
                </w:rPr>
                <w:t>.  This also does not make reference to any past practices, such as shares/cash payments given to customers at demutualisation or previous special bonus payments made from the estate. Given the variability within this measure, and the histories and practices underlying it, there is extra onus on the provider to ensure it is trying to do the right thing for all customers at all times.</w:t>
              </w:r>
            </w:p>
            <w:p w14:paraId="5B714196" w14:textId="77777777" w:rsidR="00501D3F" w:rsidRPr="004F3001" w:rsidRDefault="00501D3F">
              <w:pPr>
                <w:spacing w:after="240"/>
                <w:jc w:val="both"/>
                <w:rPr>
                  <w:rFonts w:ascii="Arial" w:hAnsi="Arial" w:cs="Arial"/>
                  <w:sz w:val="20"/>
                  <w:szCs w:val="20"/>
                </w:rPr>
              </w:pPr>
              <w:r w:rsidRPr="004F3001">
                <w:rPr>
                  <w:rFonts w:ascii="Arial" w:hAnsi="Arial" w:cs="Arial"/>
                  <w:sz w:val="20"/>
                  <w:szCs w:val="20"/>
                </w:rPr>
                <w:t>When looking at payouts as a whole, with-profits are delivering returns in line with comparable unit-linked funds</w:t>
              </w:r>
              <w:r>
                <w:rPr>
                  <w:rFonts w:ascii="Arial" w:hAnsi="Arial" w:cs="Arial"/>
                  <w:sz w:val="20"/>
                  <w:szCs w:val="20"/>
                </w:rPr>
                <w:t xml:space="preserve"> as can be seen in table 1 when comparing the returns in the columns WP return and </w:t>
              </w:r>
              <w:proofErr w:type="spellStart"/>
              <w:r>
                <w:rPr>
                  <w:rFonts w:ascii="Arial" w:hAnsi="Arial" w:cs="Arial"/>
                  <w:sz w:val="20"/>
                  <w:szCs w:val="20"/>
                </w:rPr>
                <w:t>Avg</w:t>
              </w:r>
              <w:proofErr w:type="spellEnd"/>
              <w:r>
                <w:rPr>
                  <w:rFonts w:ascii="Arial" w:hAnsi="Arial" w:cs="Arial"/>
                  <w:sz w:val="20"/>
                  <w:szCs w:val="20"/>
                </w:rPr>
                <w:t xml:space="preserve"> UL Pens</w:t>
              </w:r>
              <w:r w:rsidRPr="004F3001">
                <w:rPr>
                  <w:rFonts w:ascii="Arial" w:hAnsi="Arial" w:cs="Arial"/>
                  <w:sz w:val="20"/>
                  <w:szCs w:val="20"/>
                </w:rPr>
                <w:t>. These returns are delivered on top of the downside protection afforded by minimum value guarantees.</w:t>
              </w:r>
            </w:p>
            <w:p w14:paraId="22EDFB4C" w14:textId="77777777" w:rsidR="00501D3F" w:rsidRPr="004F3001" w:rsidRDefault="00501D3F">
              <w:pPr>
                <w:spacing w:after="240"/>
                <w:jc w:val="both"/>
                <w:rPr>
                  <w:rFonts w:ascii="Arial" w:hAnsi="Arial" w:cs="Arial"/>
                  <w:sz w:val="20"/>
                  <w:szCs w:val="20"/>
                </w:rPr>
              </w:pPr>
              <w:r w:rsidRPr="004F3001">
                <w:rPr>
                  <w:rFonts w:ascii="Arial" w:hAnsi="Arial" w:cs="Arial"/>
                  <w:sz w:val="20"/>
                  <w:szCs w:val="20"/>
                </w:rPr>
                <w:t>Annualised returns on payouts from regular premium (RP), and single premium (SP) with-profits policies, compared with comparable unit-linked equivalents and total return on equivalent investment in FTSE All Share index are</w:t>
              </w:r>
              <w:r>
                <w:rPr>
                  <w:rFonts w:ascii="Arial" w:hAnsi="Arial" w:cs="Arial"/>
                  <w:sz w:val="20"/>
                  <w:szCs w:val="20"/>
                </w:rPr>
                <w:t xml:space="preserve"> shown in Table 1.</w:t>
              </w:r>
            </w:p>
            <w:tbl>
              <w:tblPr>
                <w:tblW w:w="9280" w:type="dxa"/>
                <w:tblCellMar>
                  <w:left w:w="0" w:type="dxa"/>
                  <w:right w:w="0" w:type="dxa"/>
                </w:tblCellMar>
                <w:tblLook w:val="0420" w:firstRow="1" w:lastRow="0" w:firstColumn="0" w:lastColumn="0" w:noHBand="0" w:noVBand="1"/>
              </w:tblPr>
              <w:tblGrid>
                <w:gridCol w:w="2020"/>
                <w:gridCol w:w="920"/>
                <w:gridCol w:w="1240"/>
                <w:gridCol w:w="1700"/>
                <w:gridCol w:w="1700"/>
                <w:gridCol w:w="1700"/>
              </w:tblGrid>
              <w:tr w:rsidR="00501D3F" w:rsidRPr="004F3001" w14:paraId="6EDF5B5A" w14:textId="77777777" w:rsidTr="00EF7358">
                <w:trPr>
                  <w:trHeight w:val="476"/>
                </w:trPr>
                <w:tc>
                  <w:tcPr>
                    <w:tcW w:w="2020" w:type="dxa"/>
                    <w:shd w:val="clear" w:color="auto" w:fill="113458"/>
                    <w:tcMar>
                      <w:top w:w="72" w:type="dxa"/>
                      <w:left w:w="144" w:type="dxa"/>
                      <w:bottom w:w="72" w:type="dxa"/>
                      <w:right w:w="144" w:type="dxa"/>
                    </w:tcMar>
                    <w:hideMark/>
                  </w:tcPr>
                  <w:p w14:paraId="1ECE6A5A" w14:textId="77777777" w:rsidR="00501D3F" w:rsidRPr="004F3001" w:rsidRDefault="00501D3F" w:rsidP="000230E1">
                    <w:pPr>
                      <w:spacing w:after="0" w:line="240" w:lineRule="auto"/>
                      <w:rPr>
                        <w:rFonts w:ascii="Arial" w:eastAsia="Times New Roman" w:hAnsi="Arial" w:cs="Arial"/>
                        <w:sz w:val="20"/>
                        <w:szCs w:val="20"/>
                        <w:lang w:eastAsia="zh-TW"/>
                      </w:rPr>
                    </w:pPr>
                    <w:r w:rsidRPr="004F3001">
                      <w:rPr>
                        <w:rFonts w:ascii="Arial" w:eastAsia="Times New Roman" w:hAnsi="Arial" w:cs="Arial"/>
                        <w:b/>
                        <w:bCs/>
                        <w:color w:val="FFFFFF" w:themeColor="light1"/>
                        <w:kern w:val="24"/>
                        <w:sz w:val="20"/>
                        <w:szCs w:val="20"/>
                        <w:lang w:eastAsia="zh-TW"/>
                      </w:rPr>
                      <w:t>Product</w:t>
                    </w:r>
                  </w:p>
                </w:tc>
                <w:tc>
                  <w:tcPr>
                    <w:tcW w:w="920" w:type="dxa"/>
                    <w:shd w:val="clear" w:color="auto" w:fill="113458"/>
                    <w:tcMar>
                      <w:top w:w="72" w:type="dxa"/>
                      <w:left w:w="144" w:type="dxa"/>
                      <w:bottom w:w="72" w:type="dxa"/>
                      <w:right w:w="144" w:type="dxa"/>
                    </w:tcMar>
                    <w:hideMark/>
                  </w:tcPr>
                  <w:p w14:paraId="6FD2CD11" w14:textId="77777777" w:rsidR="00501D3F" w:rsidRPr="004F3001" w:rsidRDefault="00501D3F" w:rsidP="000230E1">
                    <w:pPr>
                      <w:spacing w:after="0" w:line="240" w:lineRule="auto"/>
                      <w:rPr>
                        <w:rFonts w:ascii="Arial" w:eastAsia="Times New Roman" w:hAnsi="Arial" w:cs="Arial"/>
                        <w:sz w:val="20"/>
                        <w:szCs w:val="20"/>
                        <w:lang w:eastAsia="zh-TW"/>
                      </w:rPr>
                    </w:pPr>
                    <w:r w:rsidRPr="004F3001">
                      <w:rPr>
                        <w:rFonts w:ascii="Arial" w:eastAsia="Times New Roman" w:hAnsi="Arial" w:cs="Arial"/>
                        <w:b/>
                        <w:bCs/>
                        <w:color w:val="FFFFFF" w:themeColor="light1"/>
                        <w:kern w:val="24"/>
                        <w:sz w:val="20"/>
                        <w:szCs w:val="20"/>
                        <w:lang w:eastAsia="zh-TW"/>
                      </w:rPr>
                      <w:t>Freq</w:t>
                    </w:r>
                  </w:p>
                </w:tc>
                <w:tc>
                  <w:tcPr>
                    <w:tcW w:w="1240" w:type="dxa"/>
                    <w:shd w:val="clear" w:color="auto" w:fill="113458"/>
                    <w:tcMar>
                      <w:top w:w="72" w:type="dxa"/>
                      <w:left w:w="144" w:type="dxa"/>
                      <w:bottom w:w="72" w:type="dxa"/>
                      <w:right w:w="144" w:type="dxa"/>
                    </w:tcMar>
                    <w:hideMark/>
                  </w:tcPr>
                  <w:p w14:paraId="0512053B" w14:textId="77777777" w:rsidR="00501D3F" w:rsidRPr="004F3001" w:rsidRDefault="00501D3F" w:rsidP="000230E1">
                    <w:pPr>
                      <w:spacing w:after="0" w:line="240" w:lineRule="auto"/>
                      <w:rPr>
                        <w:rFonts w:ascii="Arial" w:eastAsia="Times New Roman" w:hAnsi="Arial" w:cs="Arial"/>
                        <w:sz w:val="20"/>
                        <w:szCs w:val="20"/>
                        <w:lang w:eastAsia="zh-TW"/>
                      </w:rPr>
                    </w:pPr>
                    <w:r w:rsidRPr="004F3001">
                      <w:rPr>
                        <w:rFonts w:ascii="Arial" w:eastAsia="Times New Roman" w:hAnsi="Arial" w:cs="Arial"/>
                        <w:b/>
                        <w:bCs/>
                        <w:color w:val="FFFFFF" w:themeColor="light1"/>
                        <w:kern w:val="24"/>
                        <w:sz w:val="20"/>
                        <w:szCs w:val="20"/>
                        <w:lang w:eastAsia="zh-TW"/>
                      </w:rPr>
                      <w:t>Term (years)</w:t>
                    </w:r>
                  </w:p>
                </w:tc>
                <w:tc>
                  <w:tcPr>
                    <w:tcW w:w="1700" w:type="dxa"/>
                    <w:shd w:val="clear" w:color="auto" w:fill="113458"/>
                    <w:tcMar>
                      <w:top w:w="72" w:type="dxa"/>
                      <w:left w:w="144" w:type="dxa"/>
                      <w:bottom w:w="72" w:type="dxa"/>
                      <w:right w:w="144" w:type="dxa"/>
                    </w:tcMar>
                    <w:hideMark/>
                  </w:tcPr>
                  <w:p w14:paraId="1F5F6C3F" w14:textId="77777777" w:rsidR="00501D3F" w:rsidRPr="004F3001" w:rsidRDefault="00501D3F" w:rsidP="000230E1">
                    <w:pPr>
                      <w:spacing w:after="0" w:line="240" w:lineRule="auto"/>
                      <w:rPr>
                        <w:rFonts w:ascii="Arial" w:eastAsia="Times New Roman" w:hAnsi="Arial" w:cs="Arial"/>
                        <w:sz w:val="20"/>
                        <w:szCs w:val="20"/>
                        <w:lang w:eastAsia="zh-TW"/>
                      </w:rPr>
                    </w:pPr>
                    <w:r w:rsidRPr="004F3001">
                      <w:rPr>
                        <w:rFonts w:ascii="Arial" w:eastAsia="Times New Roman" w:hAnsi="Arial" w:cs="Arial"/>
                        <w:b/>
                        <w:bCs/>
                        <w:color w:val="FFFFFF" w:themeColor="light1"/>
                        <w:kern w:val="24"/>
                        <w:sz w:val="20"/>
                        <w:szCs w:val="20"/>
                        <w:lang w:eastAsia="zh-TW"/>
                      </w:rPr>
                      <w:t>WP Return</w:t>
                    </w:r>
                  </w:p>
                </w:tc>
                <w:tc>
                  <w:tcPr>
                    <w:tcW w:w="1700" w:type="dxa"/>
                    <w:shd w:val="clear" w:color="auto" w:fill="113458"/>
                    <w:hideMark/>
                  </w:tcPr>
                  <w:p w14:paraId="2AC86F20" w14:textId="77777777" w:rsidR="00501D3F" w:rsidRPr="004F3001" w:rsidRDefault="00501D3F" w:rsidP="000230E1">
                    <w:pPr>
                      <w:spacing w:after="0" w:line="240" w:lineRule="auto"/>
                      <w:rPr>
                        <w:rFonts w:ascii="Arial" w:eastAsia="Times New Roman" w:hAnsi="Arial" w:cs="Arial"/>
                        <w:sz w:val="20"/>
                        <w:szCs w:val="20"/>
                        <w:lang w:eastAsia="zh-TW"/>
                      </w:rPr>
                    </w:pPr>
                    <w:proofErr w:type="spellStart"/>
                    <w:r w:rsidRPr="004F3001">
                      <w:rPr>
                        <w:rFonts w:ascii="Arial" w:eastAsia="Times New Roman" w:hAnsi="Arial" w:cs="Arial"/>
                        <w:b/>
                        <w:bCs/>
                        <w:color w:val="FFFFFF" w:themeColor="light1"/>
                        <w:kern w:val="24"/>
                        <w:sz w:val="20"/>
                        <w:szCs w:val="20"/>
                        <w:lang w:eastAsia="zh-TW"/>
                      </w:rPr>
                      <w:t>Avg</w:t>
                    </w:r>
                    <w:proofErr w:type="spellEnd"/>
                    <w:r w:rsidRPr="004F3001">
                      <w:rPr>
                        <w:rFonts w:ascii="Arial" w:eastAsia="Times New Roman" w:hAnsi="Arial" w:cs="Arial"/>
                        <w:b/>
                        <w:bCs/>
                        <w:color w:val="FFFFFF" w:themeColor="light1"/>
                        <w:kern w:val="24"/>
                        <w:sz w:val="20"/>
                        <w:szCs w:val="20"/>
                        <w:lang w:eastAsia="zh-TW"/>
                      </w:rPr>
                      <w:t xml:space="preserve"> UL Pens</w:t>
                    </w:r>
                  </w:p>
                </w:tc>
                <w:tc>
                  <w:tcPr>
                    <w:tcW w:w="1700" w:type="dxa"/>
                    <w:shd w:val="clear" w:color="auto" w:fill="113458"/>
                    <w:tcMar>
                      <w:top w:w="72" w:type="dxa"/>
                      <w:left w:w="144" w:type="dxa"/>
                      <w:bottom w:w="72" w:type="dxa"/>
                      <w:right w:w="144" w:type="dxa"/>
                    </w:tcMar>
                    <w:hideMark/>
                  </w:tcPr>
                  <w:p w14:paraId="665BE7FA" w14:textId="77777777" w:rsidR="00501D3F" w:rsidRPr="004F3001" w:rsidRDefault="00501D3F" w:rsidP="000230E1">
                    <w:pPr>
                      <w:spacing w:after="0" w:line="240" w:lineRule="auto"/>
                      <w:rPr>
                        <w:rFonts w:ascii="Arial" w:eastAsia="Times New Roman" w:hAnsi="Arial" w:cs="Arial"/>
                        <w:sz w:val="20"/>
                        <w:szCs w:val="20"/>
                        <w:lang w:eastAsia="zh-TW"/>
                      </w:rPr>
                    </w:pPr>
                    <w:r w:rsidRPr="004F3001">
                      <w:rPr>
                        <w:rFonts w:ascii="Arial" w:eastAsia="Times New Roman" w:hAnsi="Arial" w:cs="Arial"/>
                        <w:b/>
                        <w:bCs/>
                        <w:color w:val="FFFFFF" w:themeColor="light1"/>
                        <w:kern w:val="24"/>
                        <w:sz w:val="20"/>
                        <w:szCs w:val="20"/>
                        <w:lang w:eastAsia="zh-TW"/>
                      </w:rPr>
                      <w:t xml:space="preserve">FTSE </w:t>
                    </w:r>
                    <w:commentRangeStart w:id="2"/>
                    <w:proofErr w:type="spellStart"/>
                    <w:r w:rsidRPr="004F3001">
                      <w:rPr>
                        <w:rFonts w:ascii="Arial" w:eastAsia="Times New Roman" w:hAnsi="Arial" w:cs="Arial"/>
                        <w:b/>
                        <w:bCs/>
                        <w:color w:val="FFFFFF" w:themeColor="light1"/>
                        <w:kern w:val="24"/>
                        <w:sz w:val="20"/>
                        <w:szCs w:val="20"/>
                        <w:lang w:eastAsia="zh-TW"/>
                      </w:rPr>
                      <w:t>AllShare</w:t>
                    </w:r>
                    <w:commentRangeEnd w:id="2"/>
                    <w:proofErr w:type="spellEnd"/>
                    <w:r w:rsidR="00690A05">
                      <w:rPr>
                        <w:rStyle w:val="CommentReference"/>
                        <w:rFonts w:ascii="Times New Roman" w:eastAsia="Times New Roman" w:hAnsi="Times New Roman" w:cs="Times New Roman"/>
                      </w:rPr>
                      <w:commentReference w:id="2"/>
                    </w:r>
                  </w:p>
                </w:tc>
              </w:tr>
              <w:tr w:rsidR="00501D3F" w:rsidRPr="004F3001" w14:paraId="78BF8068" w14:textId="77777777" w:rsidTr="00EF7358">
                <w:trPr>
                  <w:trHeight w:val="278"/>
                </w:trPr>
                <w:tc>
                  <w:tcPr>
                    <w:tcW w:w="2020" w:type="dxa"/>
                    <w:tcBorders>
                      <w:top w:val="nil"/>
                      <w:left w:val="nil"/>
                      <w:bottom w:val="nil"/>
                      <w:right w:val="single" w:sz="8" w:space="0" w:color="A6A6A6"/>
                    </w:tcBorders>
                    <w:tcMar>
                      <w:top w:w="72" w:type="dxa"/>
                      <w:left w:w="144" w:type="dxa"/>
                      <w:bottom w:w="72" w:type="dxa"/>
                      <w:right w:w="144" w:type="dxa"/>
                    </w:tcMar>
                    <w:hideMark/>
                  </w:tcPr>
                  <w:p w14:paraId="09C07D5D" w14:textId="77777777" w:rsidR="00501D3F" w:rsidRPr="004F3001" w:rsidRDefault="00501D3F" w:rsidP="000230E1">
                    <w:pPr>
                      <w:spacing w:after="0" w:line="240" w:lineRule="auto"/>
                      <w:rPr>
                        <w:rFonts w:ascii="Arial" w:eastAsia="Times New Roman" w:hAnsi="Arial" w:cs="Arial"/>
                        <w:sz w:val="20"/>
                        <w:szCs w:val="20"/>
                        <w:lang w:eastAsia="zh-TW"/>
                      </w:rPr>
                    </w:pPr>
                    <w:r w:rsidRPr="004F3001">
                      <w:rPr>
                        <w:rFonts w:ascii="Arial" w:eastAsia="Times New Roman" w:hAnsi="Arial" w:cs="Arial"/>
                        <w:color w:val="3F4548"/>
                        <w:kern w:val="24"/>
                        <w:sz w:val="20"/>
                        <w:szCs w:val="20"/>
                        <w:lang w:eastAsia="zh-TW"/>
                      </w:rPr>
                      <w:t>Pension</w:t>
                    </w:r>
                  </w:p>
                </w:tc>
                <w:tc>
                  <w:tcPr>
                    <w:tcW w:w="920" w:type="dxa"/>
                    <w:tcBorders>
                      <w:top w:val="nil"/>
                      <w:left w:val="single" w:sz="8" w:space="0" w:color="A6A6A6"/>
                      <w:bottom w:val="nil"/>
                      <w:right w:val="single" w:sz="8" w:space="0" w:color="A6A6A6"/>
                    </w:tcBorders>
                    <w:tcMar>
                      <w:top w:w="72" w:type="dxa"/>
                      <w:left w:w="144" w:type="dxa"/>
                      <w:bottom w:w="72" w:type="dxa"/>
                      <w:right w:w="144" w:type="dxa"/>
                    </w:tcMar>
                    <w:hideMark/>
                  </w:tcPr>
                  <w:p w14:paraId="38962164" w14:textId="77777777" w:rsidR="00501D3F" w:rsidRPr="004F3001" w:rsidRDefault="00501D3F" w:rsidP="000230E1">
                    <w:pPr>
                      <w:spacing w:after="0" w:line="240" w:lineRule="auto"/>
                      <w:jc w:val="center"/>
                      <w:rPr>
                        <w:rFonts w:ascii="Arial" w:eastAsia="Times New Roman" w:hAnsi="Arial" w:cs="Arial"/>
                        <w:sz w:val="20"/>
                        <w:szCs w:val="20"/>
                        <w:lang w:eastAsia="zh-TW"/>
                      </w:rPr>
                    </w:pPr>
                    <w:r w:rsidRPr="004F3001">
                      <w:rPr>
                        <w:rFonts w:ascii="Arial" w:eastAsia="Times New Roman" w:hAnsi="Arial" w:cs="Arial"/>
                        <w:color w:val="3F4548"/>
                        <w:kern w:val="24"/>
                        <w:sz w:val="20"/>
                        <w:szCs w:val="20"/>
                        <w:lang w:eastAsia="zh-TW"/>
                      </w:rPr>
                      <w:t>RP</w:t>
                    </w:r>
                  </w:p>
                </w:tc>
                <w:tc>
                  <w:tcPr>
                    <w:tcW w:w="1240" w:type="dxa"/>
                    <w:tcBorders>
                      <w:top w:val="nil"/>
                      <w:left w:val="single" w:sz="8" w:space="0" w:color="A6A6A6"/>
                      <w:bottom w:val="nil"/>
                      <w:right w:val="single" w:sz="8" w:space="0" w:color="A6A6A6"/>
                    </w:tcBorders>
                    <w:tcMar>
                      <w:top w:w="72" w:type="dxa"/>
                      <w:left w:w="144" w:type="dxa"/>
                      <w:bottom w:w="72" w:type="dxa"/>
                      <w:right w:w="144" w:type="dxa"/>
                    </w:tcMar>
                    <w:hideMark/>
                  </w:tcPr>
                  <w:p w14:paraId="728BD38A" w14:textId="77777777" w:rsidR="00501D3F" w:rsidRPr="004F3001" w:rsidRDefault="00501D3F" w:rsidP="000230E1">
                    <w:pPr>
                      <w:spacing w:after="0" w:line="240" w:lineRule="auto"/>
                      <w:jc w:val="center"/>
                      <w:rPr>
                        <w:rFonts w:ascii="Arial" w:eastAsia="Times New Roman" w:hAnsi="Arial" w:cs="Arial"/>
                        <w:sz w:val="20"/>
                        <w:szCs w:val="20"/>
                        <w:lang w:eastAsia="zh-TW"/>
                      </w:rPr>
                    </w:pPr>
                    <w:r w:rsidRPr="004F3001">
                      <w:rPr>
                        <w:rFonts w:ascii="Arial" w:eastAsia="Times New Roman" w:hAnsi="Arial" w:cs="Arial"/>
                        <w:color w:val="3F4548"/>
                        <w:kern w:val="24"/>
                        <w:sz w:val="20"/>
                        <w:szCs w:val="20"/>
                        <w:lang w:eastAsia="zh-TW"/>
                      </w:rPr>
                      <w:t>10</w:t>
                    </w:r>
                  </w:p>
                </w:tc>
                <w:tc>
                  <w:tcPr>
                    <w:tcW w:w="1700" w:type="dxa"/>
                    <w:tcBorders>
                      <w:top w:val="nil"/>
                      <w:left w:val="single" w:sz="8" w:space="0" w:color="A6A6A6"/>
                      <w:bottom w:val="nil"/>
                      <w:right w:val="single" w:sz="8" w:space="0" w:color="A6A6A6"/>
                    </w:tcBorders>
                    <w:tcMar>
                      <w:top w:w="72" w:type="dxa"/>
                      <w:left w:w="144" w:type="dxa"/>
                      <w:bottom w:w="72" w:type="dxa"/>
                      <w:right w:w="144" w:type="dxa"/>
                    </w:tcMar>
                    <w:hideMark/>
                  </w:tcPr>
                  <w:p w14:paraId="793F49A5" w14:textId="77777777" w:rsidR="00501D3F" w:rsidRPr="004F3001" w:rsidRDefault="00501D3F" w:rsidP="000230E1">
                    <w:pPr>
                      <w:spacing w:after="0" w:line="240" w:lineRule="auto"/>
                      <w:jc w:val="center"/>
                      <w:rPr>
                        <w:rFonts w:ascii="Arial" w:eastAsia="Times New Roman" w:hAnsi="Arial" w:cs="Arial"/>
                        <w:sz w:val="20"/>
                        <w:szCs w:val="20"/>
                        <w:lang w:eastAsia="zh-TW"/>
                      </w:rPr>
                    </w:pPr>
                    <w:r w:rsidRPr="004F3001">
                      <w:rPr>
                        <w:rFonts w:ascii="Arial" w:eastAsia="Times New Roman" w:hAnsi="Arial" w:cs="Arial"/>
                        <w:color w:val="3F4548"/>
                        <w:kern w:val="24"/>
                        <w:sz w:val="20"/>
                        <w:szCs w:val="20"/>
                        <w:lang w:eastAsia="zh-TW"/>
                      </w:rPr>
                      <w:t>5.7%</w:t>
                    </w:r>
                  </w:p>
                </w:tc>
                <w:tc>
                  <w:tcPr>
                    <w:tcW w:w="1700" w:type="dxa"/>
                    <w:tcBorders>
                      <w:top w:val="nil"/>
                      <w:left w:val="single" w:sz="8" w:space="0" w:color="A6A6A6"/>
                      <w:bottom w:val="nil"/>
                      <w:right w:val="single" w:sz="8" w:space="0" w:color="A6A6A6"/>
                    </w:tcBorders>
                    <w:hideMark/>
                  </w:tcPr>
                  <w:p w14:paraId="0BF92A2B" w14:textId="77777777" w:rsidR="00501D3F" w:rsidRPr="004F3001" w:rsidRDefault="00501D3F" w:rsidP="000230E1">
                    <w:pPr>
                      <w:spacing w:after="0" w:line="240" w:lineRule="auto"/>
                      <w:jc w:val="center"/>
                      <w:rPr>
                        <w:rFonts w:ascii="Arial" w:eastAsia="Times New Roman" w:hAnsi="Arial" w:cs="Arial"/>
                        <w:sz w:val="20"/>
                        <w:szCs w:val="20"/>
                        <w:lang w:eastAsia="zh-TW"/>
                      </w:rPr>
                    </w:pPr>
                    <w:r w:rsidRPr="004F3001">
                      <w:rPr>
                        <w:rFonts w:ascii="Arial" w:eastAsia="Times New Roman" w:hAnsi="Arial" w:cs="Arial"/>
                        <w:color w:val="3F4548"/>
                        <w:kern w:val="24"/>
                        <w:sz w:val="20"/>
                        <w:szCs w:val="20"/>
                        <w:lang w:eastAsia="zh-TW"/>
                      </w:rPr>
                      <w:t>5.9%</w:t>
                    </w:r>
                  </w:p>
                </w:tc>
                <w:tc>
                  <w:tcPr>
                    <w:tcW w:w="1700" w:type="dxa"/>
                    <w:tcBorders>
                      <w:top w:val="nil"/>
                      <w:left w:val="single" w:sz="8" w:space="0" w:color="A6A6A6"/>
                      <w:bottom w:val="nil"/>
                      <w:right w:val="single" w:sz="8" w:space="0" w:color="A6A6A6"/>
                    </w:tcBorders>
                    <w:tcMar>
                      <w:top w:w="72" w:type="dxa"/>
                      <w:left w:w="144" w:type="dxa"/>
                      <w:bottom w:w="72" w:type="dxa"/>
                      <w:right w:w="144" w:type="dxa"/>
                    </w:tcMar>
                    <w:hideMark/>
                  </w:tcPr>
                  <w:p w14:paraId="70D36466" w14:textId="77777777" w:rsidR="00501D3F" w:rsidRPr="004F3001" w:rsidRDefault="00501D3F" w:rsidP="000230E1">
                    <w:pPr>
                      <w:spacing w:after="0" w:line="240" w:lineRule="auto"/>
                      <w:jc w:val="center"/>
                      <w:rPr>
                        <w:rFonts w:ascii="Arial" w:eastAsia="Times New Roman" w:hAnsi="Arial" w:cs="Arial"/>
                        <w:sz w:val="20"/>
                        <w:szCs w:val="20"/>
                        <w:lang w:eastAsia="zh-TW"/>
                      </w:rPr>
                    </w:pPr>
                    <w:r w:rsidRPr="004F3001">
                      <w:rPr>
                        <w:rFonts w:ascii="Arial" w:eastAsia="Times New Roman" w:hAnsi="Arial" w:cs="Arial"/>
                        <w:color w:val="3F4548"/>
                        <w:kern w:val="24"/>
                        <w:sz w:val="20"/>
                        <w:szCs w:val="20"/>
                        <w:lang w:eastAsia="zh-TW"/>
                      </w:rPr>
                      <w:t>2.5%</w:t>
                    </w:r>
                  </w:p>
                </w:tc>
              </w:tr>
              <w:tr w:rsidR="00501D3F" w:rsidRPr="004F3001" w14:paraId="73E3F1DA" w14:textId="77777777" w:rsidTr="00EF7358">
                <w:trPr>
                  <w:trHeight w:val="269"/>
                </w:trPr>
                <w:tc>
                  <w:tcPr>
                    <w:tcW w:w="2020" w:type="dxa"/>
                    <w:tcBorders>
                      <w:top w:val="nil"/>
                      <w:left w:val="nil"/>
                      <w:bottom w:val="nil"/>
                      <w:right w:val="single" w:sz="8" w:space="0" w:color="A6A6A6"/>
                    </w:tcBorders>
                    <w:shd w:val="clear" w:color="auto" w:fill="D8EAF1"/>
                    <w:tcMar>
                      <w:top w:w="72" w:type="dxa"/>
                      <w:left w:w="144" w:type="dxa"/>
                      <w:bottom w:w="72" w:type="dxa"/>
                      <w:right w:w="144" w:type="dxa"/>
                    </w:tcMar>
                    <w:hideMark/>
                  </w:tcPr>
                  <w:p w14:paraId="65AE1096" w14:textId="77777777" w:rsidR="00501D3F" w:rsidRPr="004F3001" w:rsidRDefault="00501D3F" w:rsidP="000230E1">
                    <w:pPr>
                      <w:spacing w:after="0" w:line="240" w:lineRule="auto"/>
                      <w:rPr>
                        <w:rFonts w:ascii="Arial" w:eastAsia="Times New Roman" w:hAnsi="Arial" w:cs="Arial"/>
                        <w:sz w:val="20"/>
                        <w:szCs w:val="20"/>
                        <w:lang w:eastAsia="zh-TW"/>
                      </w:rPr>
                    </w:pPr>
                    <w:r w:rsidRPr="004F3001">
                      <w:rPr>
                        <w:rFonts w:ascii="Arial" w:eastAsia="Times New Roman" w:hAnsi="Arial" w:cs="Arial"/>
                        <w:color w:val="3F4548"/>
                        <w:kern w:val="24"/>
                        <w:sz w:val="20"/>
                        <w:szCs w:val="20"/>
                        <w:lang w:eastAsia="zh-TW"/>
                      </w:rPr>
                      <w:t>Pension</w:t>
                    </w:r>
                  </w:p>
                </w:tc>
                <w:tc>
                  <w:tcPr>
                    <w:tcW w:w="920" w:type="dxa"/>
                    <w:tcBorders>
                      <w:top w:val="nil"/>
                      <w:left w:val="single" w:sz="8" w:space="0" w:color="A6A6A6"/>
                      <w:bottom w:val="nil"/>
                      <w:right w:val="single" w:sz="8" w:space="0" w:color="A6A6A6"/>
                    </w:tcBorders>
                    <w:shd w:val="clear" w:color="auto" w:fill="D8EAF1"/>
                    <w:tcMar>
                      <w:top w:w="72" w:type="dxa"/>
                      <w:left w:w="144" w:type="dxa"/>
                      <w:bottom w:w="72" w:type="dxa"/>
                      <w:right w:w="144" w:type="dxa"/>
                    </w:tcMar>
                    <w:hideMark/>
                  </w:tcPr>
                  <w:p w14:paraId="61BF3F9A" w14:textId="77777777" w:rsidR="00501D3F" w:rsidRPr="004F3001" w:rsidRDefault="00501D3F" w:rsidP="000230E1">
                    <w:pPr>
                      <w:spacing w:after="0" w:line="240" w:lineRule="auto"/>
                      <w:jc w:val="center"/>
                      <w:rPr>
                        <w:rFonts w:ascii="Arial" w:eastAsia="Times New Roman" w:hAnsi="Arial" w:cs="Arial"/>
                        <w:sz w:val="20"/>
                        <w:szCs w:val="20"/>
                        <w:lang w:eastAsia="zh-TW"/>
                      </w:rPr>
                    </w:pPr>
                    <w:r w:rsidRPr="004F3001">
                      <w:rPr>
                        <w:rFonts w:ascii="Arial" w:eastAsia="Times New Roman" w:hAnsi="Arial" w:cs="Arial"/>
                        <w:color w:val="3F4548"/>
                        <w:kern w:val="24"/>
                        <w:sz w:val="20"/>
                        <w:szCs w:val="20"/>
                        <w:lang w:eastAsia="zh-TW"/>
                      </w:rPr>
                      <w:t>RP</w:t>
                    </w:r>
                  </w:p>
                </w:tc>
                <w:tc>
                  <w:tcPr>
                    <w:tcW w:w="1240" w:type="dxa"/>
                    <w:tcBorders>
                      <w:top w:val="nil"/>
                      <w:left w:val="single" w:sz="8" w:space="0" w:color="A6A6A6"/>
                      <w:bottom w:val="nil"/>
                      <w:right w:val="single" w:sz="8" w:space="0" w:color="A6A6A6"/>
                    </w:tcBorders>
                    <w:shd w:val="clear" w:color="auto" w:fill="D8EAF1"/>
                    <w:tcMar>
                      <w:top w:w="72" w:type="dxa"/>
                      <w:left w:w="144" w:type="dxa"/>
                      <w:bottom w:w="72" w:type="dxa"/>
                      <w:right w:w="144" w:type="dxa"/>
                    </w:tcMar>
                    <w:hideMark/>
                  </w:tcPr>
                  <w:p w14:paraId="00F7F37B" w14:textId="77777777" w:rsidR="00501D3F" w:rsidRPr="004F3001" w:rsidRDefault="00501D3F" w:rsidP="000230E1">
                    <w:pPr>
                      <w:spacing w:after="0" w:line="240" w:lineRule="auto"/>
                      <w:jc w:val="center"/>
                      <w:rPr>
                        <w:rFonts w:ascii="Arial" w:eastAsia="Times New Roman" w:hAnsi="Arial" w:cs="Arial"/>
                        <w:sz w:val="20"/>
                        <w:szCs w:val="20"/>
                        <w:lang w:eastAsia="zh-TW"/>
                      </w:rPr>
                    </w:pPr>
                    <w:r w:rsidRPr="004F3001">
                      <w:rPr>
                        <w:rFonts w:ascii="Arial" w:eastAsia="Times New Roman" w:hAnsi="Arial" w:cs="Arial"/>
                        <w:color w:val="3F4548"/>
                        <w:kern w:val="24"/>
                        <w:sz w:val="20"/>
                        <w:szCs w:val="20"/>
                        <w:lang w:eastAsia="zh-TW"/>
                      </w:rPr>
                      <w:t>20</w:t>
                    </w:r>
                  </w:p>
                </w:tc>
                <w:tc>
                  <w:tcPr>
                    <w:tcW w:w="1700" w:type="dxa"/>
                    <w:tcBorders>
                      <w:top w:val="nil"/>
                      <w:left w:val="single" w:sz="8" w:space="0" w:color="A6A6A6"/>
                      <w:bottom w:val="nil"/>
                      <w:right w:val="single" w:sz="8" w:space="0" w:color="A6A6A6"/>
                    </w:tcBorders>
                    <w:shd w:val="clear" w:color="auto" w:fill="D8EAF1"/>
                    <w:tcMar>
                      <w:top w:w="72" w:type="dxa"/>
                      <w:left w:w="144" w:type="dxa"/>
                      <w:bottom w:w="72" w:type="dxa"/>
                      <w:right w:w="144" w:type="dxa"/>
                    </w:tcMar>
                    <w:hideMark/>
                  </w:tcPr>
                  <w:p w14:paraId="434464D0" w14:textId="77777777" w:rsidR="00501D3F" w:rsidRPr="004F3001" w:rsidRDefault="00501D3F" w:rsidP="000230E1">
                    <w:pPr>
                      <w:spacing w:after="0" w:line="240" w:lineRule="auto"/>
                      <w:jc w:val="center"/>
                      <w:rPr>
                        <w:rFonts w:ascii="Arial" w:eastAsia="Times New Roman" w:hAnsi="Arial" w:cs="Arial"/>
                        <w:sz w:val="20"/>
                        <w:szCs w:val="20"/>
                        <w:lang w:eastAsia="zh-TW"/>
                      </w:rPr>
                    </w:pPr>
                    <w:r w:rsidRPr="004F3001">
                      <w:rPr>
                        <w:rFonts w:ascii="Arial" w:eastAsia="Times New Roman" w:hAnsi="Arial" w:cs="Arial"/>
                        <w:color w:val="3F4548"/>
                        <w:kern w:val="24"/>
                        <w:sz w:val="20"/>
                        <w:szCs w:val="20"/>
                        <w:lang w:eastAsia="zh-TW"/>
                      </w:rPr>
                      <w:t>5.2%</w:t>
                    </w:r>
                  </w:p>
                </w:tc>
                <w:tc>
                  <w:tcPr>
                    <w:tcW w:w="1700" w:type="dxa"/>
                    <w:tcBorders>
                      <w:top w:val="nil"/>
                      <w:left w:val="single" w:sz="8" w:space="0" w:color="A6A6A6"/>
                      <w:bottom w:val="nil"/>
                      <w:right w:val="single" w:sz="8" w:space="0" w:color="A6A6A6"/>
                    </w:tcBorders>
                    <w:shd w:val="clear" w:color="auto" w:fill="D8EAF1"/>
                    <w:hideMark/>
                  </w:tcPr>
                  <w:p w14:paraId="31DC6312" w14:textId="77777777" w:rsidR="00501D3F" w:rsidRPr="004F3001" w:rsidRDefault="00501D3F" w:rsidP="000230E1">
                    <w:pPr>
                      <w:spacing w:after="0" w:line="240" w:lineRule="auto"/>
                      <w:jc w:val="center"/>
                      <w:rPr>
                        <w:rFonts w:ascii="Arial" w:eastAsia="Times New Roman" w:hAnsi="Arial" w:cs="Arial"/>
                        <w:sz w:val="20"/>
                        <w:szCs w:val="20"/>
                        <w:lang w:eastAsia="zh-TW"/>
                      </w:rPr>
                    </w:pPr>
                    <w:r w:rsidRPr="004F3001">
                      <w:rPr>
                        <w:rFonts w:ascii="Arial" w:eastAsia="Times New Roman" w:hAnsi="Arial" w:cs="Arial"/>
                        <w:color w:val="3F4548"/>
                        <w:kern w:val="24"/>
                        <w:sz w:val="20"/>
                        <w:szCs w:val="20"/>
                        <w:lang w:eastAsia="zh-TW"/>
                      </w:rPr>
                      <w:t>5.6%</w:t>
                    </w:r>
                  </w:p>
                </w:tc>
                <w:tc>
                  <w:tcPr>
                    <w:tcW w:w="1700" w:type="dxa"/>
                    <w:tcBorders>
                      <w:top w:val="nil"/>
                      <w:left w:val="single" w:sz="8" w:space="0" w:color="A6A6A6"/>
                      <w:bottom w:val="nil"/>
                      <w:right w:val="single" w:sz="8" w:space="0" w:color="A6A6A6"/>
                    </w:tcBorders>
                    <w:shd w:val="clear" w:color="auto" w:fill="D8EAF1"/>
                    <w:tcMar>
                      <w:top w:w="72" w:type="dxa"/>
                      <w:left w:w="144" w:type="dxa"/>
                      <w:bottom w:w="72" w:type="dxa"/>
                      <w:right w:w="144" w:type="dxa"/>
                    </w:tcMar>
                    <w:hideMark/>
                  </w:tcPr>
                  <w:p w14:paraId="6ED170DE" w14:textId="77777777" w:rsidR="00501D3F" w:rsidRPr="004F3001" w:rsidRDefault="00501D3F" w:rsidP="000230E1">
                    <w:pPr>
                      <w:spacing w:after="0" w:line="240" w:lineRule="auto"/>
                      <w:jc w:val="center"/>
                      <w:rPr>
                        <w:rFonts w:ascii="Arial" w:eastAsia="Times New Roman" w:hAnsi="Arial" w:cs="Arial"/>
                        <w:sz w:val="20"/>
                        <w:szCs w:val="20"/>
                        <w:lang w:eastAsia="zh-TW"/>
                      </w:rPr>
                    </w:pPr>
                    <w:r w:rsidRPr="004F3001">
                      <w:rPr>
                        <w:rFonts w:ascii="Arial" w:eastAsia="Times New Roman" w:hAnsi="Arial" w:cs="Arial"/>
                        <w:color w:val="3F4548"/>
                        <w:kern w:val="24"/>
                        <w:sz w:val="20"/>
                        <w:szCs w:val="20"/>
                        <w:lang w:eastAsia="zh-TW"/>
                      </w:rPr>
                      <w:t>2.5%</w:t>
                    </w:r>
                  </w:p>
                </w:tc>
              </w:tr>
              <w:tr w:rsidR="00501D3F" w:rsidRPr="004F3001" w14:paraId="143A876E" w14:textId="77777777" w:rsidTr="00EF7358">
                <w:trPr>
                  <w:trHeight w:val="303"/>
                </w:trPr>
                <w:tc>
                  <w:tcPr>
                    <w:tcW w:w="2020" w:type="dxa"/>
                    <w:tcBorders>
                      <w:top w:val="nil"/>
                      <w:left w:val="nil"/>
                      <w:bottom w:val="nil"/>
                      <w:right w:val="single" w:sz="8" w:space="0" w:color="A6A6A6"/>
                    </w:tcBorders>
                    <w:tcMar>
                      <w:top w:w="72" w:type="dxa"/>
                      <w:left w:w="144" w:type="dxa"/>
                      <w:bottom w:w="72" w:type="dxa"/>
                      <w:right w:w="144" w:type="dxa"/>
                    </w:tcMar>
                    <w:hideMark/>
                  </w:tcPr>
                  <w:p w14:paraId="0AC2261E" w14:textId="77777777" w:rsidR="00501D3F" w:rsidRPr="004F3001" w:rsidRDefault="00501D3F" w:rsidP="000230E1">
                    <w:pPr>
                      <w:spacing w:after="0" w:line="240" w:lineRule="auto"/>
                      <w:rPr>
                        <w:rFonts w:ascii="Arial" w:eastAsia="Times New Roman" w:hAnsi="Arial" w:cs="Arial"/>
                        <w:sz w:val="20"/>
                        <w:szCs w:val="20"/>
                        <w:lang w:eastAsia="zh-TW"/>
                      </w:rPr>
                    </w:pPr>
                    <w:r w:rsidRPr="004F3001">
                      <w:rPr>
                        <w:rFonts w:ascii="Arial" w:eastAsia="Times New Roman" w:hAnsi="Arial" w:cs="Arial"/>
                        <w:color w:val="3F4548"/>
                        <w:kern w:val="24"/>
                        <w:sz w:val="20"/>
                        <w:szCs w:val="20"/>
                        <w:lang w:eastAsia="zh-TW"/>
                      </w:rPr>
                      <w:t>Pension</w:t>
                    </w:r>
                  </w:p>
                </w:tc>
                <w:tc>
                  <w:tcPr>
                    <w:tcW w:w="920" w:type="dxa"/>
                    <w:tcBorders>
                      <w:top w:val="nil"/>
                      <w:left w:val="single" w:sz="8" w:space="0" w:color="A6A6A6"/>
                      <w:bottom w:val="nil"/>
                      <w:right w:val="single" w:sz="8" w:space="0" w:color="A6A6A6"/>
                    </w:tcBorders>
                    <w:tcMar>
                      <w:top w:w="72" w:type="dxa"/>
                      <w:left w:w="144" w:type="dxa"/>
                      <w:bottom w:w="72" w:type="dxa"/>
                      <w:right w:w="144" w:type="dxa"/>
                    </w:tcMar>
                    <w:hideMark/>
                  </w:tcPr>
                  <w:p w14:paraId="553D125B" w14:textId="77777777" w:rsidR="00501D3F" w:rsidRPr="004F3001" w:rsidRDefault="00501D3F" w:rsidP="000230E1">
                    <w:pPr>
                      <w:spacing w:after="0" w:line="240" w:lineRule="auto"/>
                      <w:jc w:val="center"/>
                      <w:rPr>
                        <w:rFonts w:ascii="Arial" w:eastAsia="Times New Roman" w:hAnsi="Arial" w:cs="Arial"/>
                        <w:sz w:val="20"/>
                        <w:szCs w:val="20"/>
                        <w:lang w:eastAsia="zh-TW"/>
                      </w:rPr>
                    </w:pPr>
                    <w:r w:rsidRPr="004F3001">
                      <w:rPr>
                        <w:rFonts w:ascii="Arial" w:eastAsia="Times New Roman" w:hAnsi="Arial" w:cs="Arial"/>
                        <w:color w:val="3F4548"/>
                        <w:kern w:val="24"/>
                        <w:sz w:val="20"/>
                        <w:szCs w:val="20"/>
                        <w:lang w:eastAsia="zh-TW"/>
                      </w:rPr>
                      <w:t>RP</w:t>
                    </w:r>
                  </w:p>
                </w:tc>
                <w:tc>
                  <w:tcPr>
                    <w:tcW w:w="1240" w:type="dxa"/>
                    <w:tcBorders>
                      <w:top w:val="nil"/>
                      <w:left w:val="single" w:sz="8" w:space="0" w:color="A6A6A6"/>
                      <w:bottom w:val="nil"/>
                      <w:right w:val="single" w:sz="8" w:space="0" w:color="A6A6A6"/>
                    </w:tcBorders>
                    <w:tcMar>
                      <w:top w:w="72" w:type="dxa"/>
                      <w:left w:w="144" w:type="dxa"/>
                      <w:bottom w:w="72" w:type="dxa"/>
                      <w:right w:w="144" w:type="dxa"/>
                    </w:tcMar>
                    <w:hideMark/>
                  </w:tcPr>
                  <w:p w14:paraId="22F61583" w14:textId="77777777" w:rsidR="00501D3F" w:rsidRPr="004F3001" w:rsidRDefault="00501D3F" w:rsidP="000230E1">
                    <w:pPr>
                      <w:spacing w:after="0" w:line="240" w:lineRule="auto"/>
                      <w:jc w:val="center"/>
                      <w:rPr>
                        <w:rFonts w:ascii="Arial" w:eastAsia="Times New Roman" w:hAnsi="Arial" w:cs="Arial"/>
                        <w:sz w:val="20"/>
                        <w:szCs w:val="20"/>
                        <w:lang w:eastAsia="zh-TW"/>
                      </w:rPr>
                    </w:pPr>
                    <w:r w:rsidRPr="004F3001">
                      <w:rPr>
                        <w:rFonts w:ascii="Arial" w:eastAsia="Times New Roman" w:hAnsi="Arial" w:cs="Arial"/>
                        <w:color w:val="3F4548"/>
                        <w:kern w:val="24"/>
                        <w:sz w:val="20"/>
                        <w:szCs w:val="20"/>
                        <w:lang w:eastAsia="zh-TW"/>
                      </w:rPr>
                      <w:t>30</w:t>
                    </w:r>
                  </w:p>
                </w:tc>
                <w:tc>
                  <w:tcPr>
                    <w:tcW w:w="1700" w:type="dxa"/>
                    <w:tcBorders>
                      <w:top w:val="nil"/>
                      <w:left w:val="single" w:sz="8" w:space="0" w:color="A6A6A6"/>
                      <w:bottom w:val="nil"/>
                      <w:right w:val="single" w:sz="8" w:space="0" w:color="A6A6A6"/>
                    </w:tcBorders>
                    <w:tcMar>
                      <w:top w:w="72" w:type="dxa"/>
                      <w:left w:w="144" w:type="dxa"/>
                      <w:bottom w:w="72" w:type="dxa"/>
                      <w:right w:w="144" w:type="dxa"/>
                    </w:tcMar>
                    <w:hideMark/>
                  </w:tcPr>
                  <w:p w14:paraId="55A3FE02" w14:textId="77777777" w:rsidR="00501D3F" w:rsidRPr="004F3001" w:rsidRDefault="00501D3F" w:rsidP="000230E1">
                    <w:pPr>
                      <w:spacing w:after="0" w:line="240" w:lineRule="auto"/>
                      <w:jc w:val="center"/>
                      <w:rPr>
                        <w:rFonts w:ascii="Arial" w:eastAsia="Times New Roman" w:hAnsi="Arial" w:cs="Arial"/>
                        <w:sz w:val="20"/>
                        <w:szCs w:val="20"/>
                        <w:lang w:eastAsia="zh-TW"/>
                      </w:rPr>
                    </w:pPr>
                    <w:r w:rsidRPr="004F3001">
                      <w:rPr>
                        <w:rFonts w:ascii="Arial" w:eastAsia="Times New Roman" w:hAnsi="Arial" w:cs="Arial"/>
                        <w:color w:val="3F4548"/>
                        <w:kern w:val="24"/>
                        <w:sz w:val="20"/>
                        <w:szCs w:val="20"/>
                        <w:lang w:eastAsia="zh-TW"/>
                      </w:rPr>
                      <w:t>8.4%</w:t>
                    </w:r>
                  </w:p>
                </w:tc>
                <w:tc>
                  <w:tcPr>
                    <w:tcW w:w="1700" w:type="dxa"/>
                    <w:tcBorders>
                      <w:top w:val="nil"/>
                      <w:left w:val="single" w:sz="8" w:space="0" w:color="A6A6A6"/>
                      <w:bottom w:val="nil"/>
                      <w:right w:val="single" w:sz="8" w:space="0" w:color="A6A6A6"/>
                    </w:tcBorders>
                  </w:tcPr>
                  <w:p w14:paraId="0F546E24" w14:textId="77777777" w:rsidR="00501D3F" w:rsidRPr="004F3001" w:rsidRDefault="00501D3F" w:rsidP="000230E1">
                    <w:pPr>
                      <w:spacing w:after="0" w:line="240" w:lineRule="auto"/>
                      <w:rPr>
                        <w:rFonts w:ascii="Arial" w:eastAsia="Times New Roman" w:hAnsi="Arial" w:cs="Arial"/>
                        <w:sz w:val="20"/>
                        <w:szCs w:val="20"/>
                        <w:lang w:eastAsia="zh-TW"/>
                      </w:rPr>
                    </w:pPr>
                  </w:p>
                </w:tc>
                <w:tc>
                  <w:tcPr>
                    <w:tcW w:w="1700" w:type="dxa"/>
                    <w:tcBorders>
                      <w:top w:val="nil"/>
                      <w:left w:val="single" w:sz="8" w:space="0" w:color="A6A6A6"/>
                      <w:bottom w:val="nil"/>
                      <w:right w:val="single" w:sz="8" w:space="0" w:color="A6A6A6"/>
                    </w:tcBorders>
                    <w:tcMar>
                      <w:top w:w="72" w:type="dxa"/>
                      <w:left w:w="144" w:type="dxa"/>
                      <w:bottom w:w="72" w:type="dxa"/>
                      <w:right w:w="144" w:type="dxa"/>
                    </w:tcMar>
                    <w:hideMark/>
                  </w:tcPr>
                  <w:p w14:paraId="351225A2" w14:textId="77777777" w:rsidR="00501D3F" w:rsidRPr="004F3001" w:rsidRDefault="00501D3F" w:rsidP="000230E1">
                    <w:pPr>
                      <w:spacing w:after="0" w:line="240" w:lineRule="auto"/>
                      <w:jc w:val="center"/>
                      <w:rPr>
                        <w:rFonts w:ascii="Arial" w:eastAsia="Times New Roman" w:hAnsi="Arial" w:cs="Arial"/>
                        <w:sz w:val="20"/>
                        <w:szCs w:val="20"/>
                        <w:lang w:eastAsia="zh-TW"/>
                      </w:rPr>
                    </w:pPr>
                    <w:r w:rsidRPr="004F3001">
                      <w:rPr>
                        <w:rFonts w:ascii="Arial" w:eastAsia="Times New Roman" w:hAnsi="Arial" w:cs="Arial"/>
                        <w:color w:val="3F4548"/>
                        <w:kern w:val="24"/>
                        <w:sz w:val="20"/>
                        <w:szCs w:val="20"/>
                        <w:lang w:eastAsia="zh-TW"/>
                      </w:rPr>
                      <w:t>4.1%</w:t>
                    </w:r>
                  </w:p>
                </w:tc>
              </w:tr>
              <w:tr w:rsidR="00501D3F" w:rsidRPr="004F3001" w14:paraId="1BD03576" w14:textId="77777777" w:rsidTr="00EF7358">
                <w:trPr>
                  <w:trHeight w:val="267"/>
                </w:trPr>
                <w:tc>
                  <w:tcPr>
                    <w:tcW w:w="2020" w:type="dxa"/>
                    <w:tcBorders>
                      <w:top w:val="nil"/>
                      <w:left w:val="nil"/>
                      <w:bottom w:val="nil"/>
                      <w:right w:val="single" w:sz="8" w:space="0" w:color="A6A6A6"/>
                    </w:tcBorders>
                    <w:shd w:val="clear" w:color="auto" w:fill="D8EAF1"/>
                    <w:tcMar>
                      <w:top w:w="72" w:type="dxa"/>
                      <w:left w:w="144" w:type="dxa"/>
                      <w:bottom w:w="72" w:type="dxa"/>
                      <w:right w:w="144" w:type="dxa"/>
                    </w:tcMar>
                    <w:hideMark/>
                  </w:tcPr>
                  <w:p w14:paraId="246A36B1" w14:textId="77777777" w:rsidR="00501D3F" w:rsidRPr="004F3001" w:rsidRDefault="00501D3F" w:rsidP="000230E1">
                    <w:pPr>
                      <w:spacing w:after="0" w:line="240" w:lineRule="auto"/>
                      <w:rPr>
                        <w:rFonts w:ascii="Arial" w:eastAsia="Times New Roman" w:hAnsi="Arial" w:cs="Arial"/>
                        <w:sz w:val="20"/>
                        <w:szCs w:val="20"/>
                        <w:lang w:eastAsia="zh-TW"/>
                      </w:rPr>
                    </w:pPr>
                    <w:r w:rsidRPr="004F3001">
                      <w:rPr>
                        <w:rFonts w:ascii="Arial" w:eastAsia="Times New Roman" w:hAnsi="Arial" w:cs="Arial"/>
                        <w:color w:val="3F4548"/>
                        <w:kern w:val="24"/>
                        <w:sz w:val="20"/>
                        <w:szCs w:val="20"/>
                        <w:lang w:eastAsia="zh-TW"/>
                      </w:rPr>
                      <w:t>Pension</w:t>
                    </w:r>
                  </w:p>
                </w:tc>
                <w:tc>
                  <w:tcPr>
                    <w:tcW w:w="920" w:type="dxa"/>
                    <w:tcBorders>
                      <w:top w:val="nil"/>
                      <w:left w:val="single" w:sz="8" w:space="0" w:color="A6A6A6"/>
                      <w:bottom w:val="nil"/>
                      <w:right w:val="single" w:sz="8" w:space="0" w:color="A6A6A6"/>
                    </w:tcBorders>
                    <w:shd w:val="clear" w:color="auto" w:fill="D8EAF1"/>
                    <w:tcMar>
                      <w:top w:w="72" w:type="dxa"/>
                      <w:left w:w="144" w:type="dxa"/>
                      <w:bottom w:w="72" w:type="dxa"/>
                      <w:right w:w="144" w:type="dxa"/>
                    </w:tcMar>
                    <w:hideMark/>
                  </w:tcPr>
                  <w:p w14:paraId="19C0F2D4" w14:textId="77777777" w:rsidR="00501D3F" w:rsidRPr="004F3001" w:rsidRDefault="00501D3F" w:rsidP="000230E1">
                    <w:pPr>
                      <w:spacing w:after="0" w:line="240" w:lineRule="auto"/>
                      <w:jc w:val="center"/>
                      <w:rPr>
                        <w:rFonts w:ascii="Arial" w:eastAsia="Times New Roman" w:hAnsi="Arial" w:cs="Arial"/>
                        <w:sz w:val="20"/>
                        <w:szCs w:val="20"/>
                        <w:lang w:eastAsia="zh-TW"/>
                      </w:rPr>
                    </w:pPr>
                    <w:r w:rsidRPr="004F3001">
                      <w:rPr>
                        <w:rFonts w:ascii="Arial" w:eastAsia="Times New Roman" w:hAnsi="Arial" w:cs="Arial"/>
                        <w:color w:val="3F4548"/>
                        <w:kern w:val="24"/>
                        <w:sz w:val="20"/>
                        <w:szCs w:val="20"/>
                        <w:lang w:eastAsia="zh-TW"/>
                      </w:rPr>
                      <w:t>SP</w:t>
                    </w:r>
                  </w:p>
                </w:tc>
                <w:tc>
                  <w:tcPr>
                    <w:tcW w:w="1240" w:type="dxa"/>
                    <w:tcBorders>
                      <w:top w:val="nil"/>
                      <w:left w:val="single" w:sz="8" w:space="0" w:color="A6A6A6"/>
                      <w:bottom w:val="nil"/>
                      <w:right w:val="single" w:sz="8" w:space="0" w:color="A6A6A6"/>
                    </w:tcBorders>
                    <w:shd w:val="clear" w:color="auto" w:fill="D8EAF1"/>
                    <w:tcMar>
                      <w:top w:w="72" w:type="dxa"/>
                      <w:left w:w="144" w:type="dxa"/>
                      <w:bottom w:w="72" w:type="dxa"/>
                      <w:right w:w="144" w:type="dxa"/>
                    </w:tcMar>
                    <w:hideMark/>
                  </w:tcPr>
                  <w:p w14:paraId="1A307048" w14:textId="77777777" w:rsidR="00501D3F" w:rsidRPr="004F3001" w:rsidRDefault="00501D3F" w:rsidP="000230E1">
                    <w:pPr>
                      <w:spacing w:after="0" w:line="240" w:lineRule="auto"/>
                      <w:jc w:val="center"/>
                      <w:rPr>
                        <w:rFonts w:ascii="Arial" w:eastAsia="Times New Roman" w:hAnsi="Arial" w:cs="Arial"/>
                        <w:sz w:val="20"/>
                        <w:szCs w:val="20"/>
                        <w:lang w:eastAsia="zh-TW"/>
                      </w:rPr>
                    </w:pPr>
                    <w:r w:rsidRPr="004F3001">
                      <w:rPr>
                        <w:rFonts w:ascii="Arial" w:eastAsia="Times New Roman" w:hAnsi="Arial" w:cs="Arial"/>
                        <w:color w:val="3F4548"/>
                        <w:kern w:val="24"/>
                        <w:sz w:val="20"/>
                        <w:szCs w:val="20"/>
                        <w:lang w:eastAsia="zh-TW"/>
                      </w:rPr>
                      <w:t>10</w:t>
                    </w:r>
                  </w:p>
                </w:tc>
                <w:tc>
                  <w:tcPr>
                    <w:tcW w:w="1700" w:type="dxa"/>
                    <w:tcBorders>
                      <w:top w:val="nil"/>
                      <w:left w:val="single" w:sz="8" w:space="0" w:color="A6A6A6"/>
                      <w:bottom w:val="nil"/>
                      <w:right w:val="single" w:sz="8" w:space="0" w:color="A6A6A6"/>
                    </w:tcBorders>
                    <w:shd w:val="clear" w:color="auto" w:fill="D8EAF1"/>
                    <w:tcMar>
                      <w:top w:w="72" w:type="dxa"/>
                      <w:left w:w="144" w:type="dxa"/>
                      <w:bottom w:w="72" w:type="dxa"/>
                      <w:right w:w="144" w:type="dxa"/>
                    </w:tcMar>
                    <w:hideMark/>
                  </w:tcPr>
                  <w:p w14:paraId="4F5035A6" w14:textId="77777777" w:rsidR="00501D3F" w:rsidRPr="004F3001" w:rsidRDefault="00501D3F" w:rsidP="000230E1">
                    <w:pPr>
                      <w:spacing w:after="0" w:line="240" w:lineRule="auto"/>
                      <w:jc w:val="center"/>
                      <w:rPr>
                        <w:rFonts w:ascii="Arial" w:eastAsia="Times New Roman" w:hAnsi="Arial" w:cs="Arial"/>
                        <w:sz w:val="20"/>
                        <w:szCs w:val="20"/>
                        <w:lang w:eastAsia="zh-TW"/>
                      </w:rPr>
                    </w:pPr>
                    <w:r w:rsidRPr="004F3001">
                      <w:rPr>
                        <w:rFonts w:ascii="Arial" w:eastAsia="Times New Roman" w:hAnsi="Arial" w:cs="Arial"/>
                        <w:color w:val="3F4548"/>
                        <w:kern w:val="24"/>
                        <w:sz w:val="20"/>
                        <w:szCs w:val="20"/>
                        <w:lang w:eastAsia="zh-TW"/>
                      </w:rPr>
                      <w:t>4.7%</w:t>
                    </w:r>
                  </w:p>
                </w:tc>
                <w:tc>
                  <w:tcPr>
                    <w:tcW w:w="1700" w:type="dxa"/>
                    <w:tcBorders>
                      <w:top w:val="nil"/>
                      <w:left w:val="single" w:sz="8" w:space="0" w:color="A6A6A6"/>
                      <w:bottom w:val="nil"/>
                      <w:right w:val="single" w:sz="8" w:space="0" w:color="A6A6A6"/>
                    </w:tcBorders>
                    <w:shd w:val="clear" w:color="auto" w:fill="D8EAF1"/>
                    <w:hideMark/>
                  </w:tcPr>
                  <w:p w14:paraId="532703AF" w14:textId="77777777" w:rsidR="00501D3F" w:rsidRPr="004F3001" w:rsidRDefault="00501D3F" w:rsidP="000230E1">
                    <w:pPr>
                      <w:spacing w:after="0" w:line="240" w:lineRule="auto"/>
                      <w:jc w:val="center"/>
                      <w:rPr>
                        <w:rFonts w:ascii="Arial" w:eastAsia="Times New Roman" w:hAnsi="Arial" w:cs="Arial"/>
                        <w:sz w:val="20"/>
                        <w:szCs w:val="20"/>
                        <w:lang w:eastAsia="zh-TW"/>
                      </w:rPr>
                    </w:pPr>
                    <w:r w:rsidRPr="004F3001">
                      <w:rPr>
                        <w:rFonts w:ascii="Arial" w:eastAsia="Times New Roman" w:hAnsi="Arial" w:cs="Arial"/>
                        <w:color w:val="3F4548"/>
                        <w:kern w:val="24"/>
                        <w:sz w:val="20"/>
                        <w:szCs w:val="20"/>
                        <w:lang w:eastAsia="zh-TW"/>
                      </w:rPr>
                      <w:t>4.8%</w:t>
                    </w:r>
                  </w:p>
                </w:tc>
                <w:tc>
                  <w:tcPr>
                    <w:tcW w:w="1700" w:type="dxa"/>
                    <w:tcBorders>
                      <w:top w:val="nil"/>
                      <w:left w:val="single" w:sz="8" w:space="0" w:color="A6A6A6"/>
                      <w:bottom w:val="nil"/>
                      <w:right w:val="single" w:sz="8" w:space="0" w:color="A6A6A6"/>
                    </w:tcBorders>
                    <w:shd w:val="clear" w:color="auto" w:fill="D8EAF1"/>
                    <w:tcMar>
                      <w:top w:w="72" w:type="dxa"/>
                      <w:left w:w="144" w:type="dxa"/>
                      <w:bottom w:w="72" w:type="dxa"/>
                      <w:right w:w="144" w:type="dxa"/>
                    </w:tcMar>
                    <w:hideMark/>
                  </w:tcPr>
                  <w:p w14:paraId="1AC53D5F" w14:textId="77777777" w:rsidR="00501D3F" w:rsidRPr="004F3001" w:rsidRDefault="00501D3F" w:rsidP="000230E1">
                    <w:pPr>
                      <w:spacing w:after="0" w:line="240" w:lineRule="auto"/>
                      <w:jc w:val="center"/>
                      <w:rPr>
                        <w:rFonts w:ascii="Arial" w:eastAsia="Times New Roman" w:hAnsi="Arial" w:cs="Arial"/>
                        <w:sz w:val="20"/>
                        <w:szCs w:val="20"/>
                        <w:lang w:eastAsia="zh-TW"/>
                      </w:rPr>
                    </w:pPr>
                    <w:r w:rsidRPr="004F3001">
                      <w:rPr>
                        <w:rFonts w:ascii="Arial" w:eastAsia="Times New Roman" w:hAnsi="Arial" w:cs="Arial"/>
                        <w:color w:val="3F4548"/>
                        <w:kern w:val="24"/>
                        <w:sz w:val="20"/>
                        <w:szCs w:val="20"/>
                        <w:lang w:eastAsia="zh-TW"/>
                      </w:rPr>
                      <w:t>1.9%</w:t>
                    </w:r>
                  </w:p>
                </w:tc>
              </w:tr>
              <w:tr w:rsidR="00501D3F" w:rsidRPr="004F3001" w14:paraId="487CFBF0" w14:textId="77777777" w:rsidTr="00EF7358">
                <w:trPr>
                  <w:trHeight w:val="288"/>
                </w:trPr>
                <w:tc>
                  <w:tcPr>
                    <w:tcW w:w="2020" w:type="dxa"/>
                    <w:tcBorders>
                      <w:top w:val="nil"/>
                      <w:left w:val="nil"/>
                      <w:bottom w:val="nil"/>
                      <w:right w:val="single" w:sz="8" w:space="0" w:color="A6A6A6"/>
                    </w:tcBorders>
                    <w:tcMar>
                      <w:top w:w="72" w:type="dxa"/>
                      <w:left w:w="144" w:type="dxa"/>
                      <w:bottom w:w="72" w:type="dxa"/>
                      <w:right w:w="144" w:type="dxa"/>
                    </w:tcMar>
                    <w:hideMark/>
                  </w:tcPr>
                  <w:p w14:paraId="1D9FC271" w14:textId="77777777" w:rsidR="00501D3F" w:rsidRPr="004F3001" w:rsidRDefault="00501D3F" w:rsidP="000230E1">
                    <w:pPr>
                      <w:spacing w:after="0" w:line="240" w:lineRule="auto"/>
                      <w:rPr>
                        <w:rFonts w:ascii="Arial" w:eastAsia="Times New Roman" w:hAnsi="Arial" w:cs="Arial"/>
                        <w:sz w:val="20"/>
                        <w:szCs w:val="20"/>
                        <w:lang w:eastAsia="zh-TW"/>
                      </w:rPr>
                    </w:pPr>
                    <w:r w:rsidRPr="004F3001">
                      <w:rPr>
                        <w:rFonts w:ascii="Arial" w:eastAsia="Times New Roman" w:hAnsi="Arial" w:cs="Arial"/>
                        <w:color w:val="3F4548"/>
                        <w:kern w:val="24"/>
                        <w:sz w:val="20"/>
                        <w:szCs w:val="20"/>
                        <w:lang w:eastAsia="zh-TW"/>
                      </w:rPr>
                      <w:t>Pension</w:t>
                    </w:r>
                  </w:p>
                </w:tc>
                <w:tc>
                  <w:tcPr>
                    <w:tcW w:w="920" w:type="dxa"/>
                    <w:tcBorders>
                      <w:top w:val="nil"/>
                      <w:left w:val="single" w:sz="8" w:space="0" w:color="A6A6A6"/>
                      <w:bottom w:val="nil"/>
                      <w:right w:val="single" w:sz="8" w:space="0" w:color="A6A6A6"/>
                    </w:tcBorders>
                    <w:tcMar>
                      <w:top w:w="72" w:type="dxa"/>
                      <w:left w:w="144" w:type="dxa"/>
                      <w:bottom w:w="72" w:type="dxa"/>
                      <w:right w:w="144" w:type="dxa"/>
                    </w:tcMar>
                    <w:hideMark/>
                  </w:tcPr>
                  <w:p w14:paraId="14F322F9" w14:textId="77777777" w:rsidR="00501D3F" w:rsidRPr="004F3001" w:rsidRDefault="00501D3F" w:rsidP="000230E1">
                    <w:pPr>
                      <w:spacing w:after="0" w:line="240" w:lineRule="auto"/>
                      <w:jc w:val="center"/>
                      <w:rPr>
                        <w:rFonts w:ascii="Arial" w:eastAsia="Times New Roman" w:hAnsi="Arial" w:cs="Arial"/>
                        <w:sz w:val="20"/>
                        <w:szCs w:val="20"/>
                        <w:lang w:eastAsia="zh-TW"/>
                      </w:rPr>
                    </w:pPr>
                    <w:r w:rsidRPr="004F3001">
                      <w:rPr>
                        <w:rFonts w:ascii="Arial" w:eastAsia="Times New Roman" w:hAnsi="Arial" w:cs="Arial"/>
                        <w:color w:val="3F4548"/>
                        <w:kern w:val="24"/>
                        <w:sz w:val="20"/>
                        <w:szCs w:val="20"/>
                        <w:lang w:eastAsia="zh-TW"/>
                      </w:rPr>
                      <w:t>SP</w:t>
                    </w:r>
                  </w:p>
                </w:tc>
                <w:tc>
                  <w:tcPr>
                    <w:tcW w:w="1240" w:type="dxa"/>
                    <w:tcBorders>
                      <w:top w:val="nil"/>
                      <w:left w:val="single" w:sz="8" w:space="0" w:color="A6A6A6"/>
                      <w:bottom w:val="nil"/>
                      <w:right w:val="single" w:sz="8" w:space="0" w:color="A6A6A6"/>
                    </w:tcBorders>
                    <w:tcMar>
                      <w:top w:w="72" w:type="dxa"/>
                      <w:left w:w="144" w:type="dxa"/>
                      <w:bottom w:w="72" w:type="dxa"/>
                      <w:right w:w="144" w:type="dxa"/>
                    </w:tcMar>
                    <w:hideMark/>
                  </w:tcPr>
                  <w:p w14:paraId="4E916D98" w14:textId="77777777" w:rsidR="00501D3F" w:rsidRPr="004F3001" w:rsidRDefault="00501D3F" w:rsidP="000230E1">
                    <w:pPr>
                      <w:spacing w:after="0" w:line="240" w:lineRule="auto"/>
                      <w:jc w:val="center"/>
                      <w:rPr>
                        <w:rFonts w:ascii="Arial" w:eastAsia="Times New Roman" w:hAnsi="Arial" w:cs="Arial"/>
                        <w:sz w:val="20"/>
                        <w:szCs w:val="20"/>
                        <w:lang w:eastAsia="zh-TW"/>
                      </w:rPr>
                    </w:pPr>
                    <w:r w:rsidRPr="004F3001">
                      <w:rPr>
                        <w:rFonts w:ascii="Arial" w:eastAsia="Times New Roman" w:hAnsi="Arial" w:cs="Arial"/>
                        <w:color w:val="3F4548"/>
                        <w:kern w:val="24"/>
                        <w:sz w:val="20"/>
                        <w:szCs w:val="20"/>
                        <w:lang w:eastAsia="zh-TW"/>
                      </w:rPr>
                      <w:t>20</w:t>
                    </w:r>
                  </w:p>
                </w:tc>
                <w:tc>
                  <w:tcPr>
                    <w:tcW w:w="1700" w:type="dxa"/>
                    <w:tcBorders>
                      <w:top w:val="nil"/>
                      <w:left w:val="single" w:sz="8" w:space="0" w:color="A6A6A6"/>
                      <w:bottom w:val="nil"/>
                      <w:right w:val="single" w:sz="8" w:space="0" w:color="A6A6A6"/>
                    </w:tcBorders>
                    <w:tcMar>
                      <w:top w:w="72" w:type="dxa"/>
                      <w:left w:w="144" w:type="dxa"/>
                      <w:bottom w:w="72" w:type="dxa"/>
                      <w:right w:w="144" w:type="dxa"/>
                    </w:tcMar>
                    <w:hideMark/>
                  </w:tcPr>
                  <w:p w14:paraId="3C263078" w14:textId="77777777" w:rsidR="00501D3F" w:rsidRPr="004F3001" w:rsidRDefault="00501D3F" w:rsidP="000230E1">
                    <w:pPr>
                      <w:spacing w:after="0" w:line="240" w:lineRule="auto"/>
                      <w:jc w:val="center"/>
                      <w:rPr>
                        <w:rFonts w:ascii="Arial" w:eastAsia="Times New Roman" w:hAnsi="Arial" w:cs="Arial"/>
                        <w:sz w:val="20"/>
                        <w:szCs w:val="20"/>
                        <w:lang w:eastAsia="zh-TW"/>
                      </w:rPr>
                    </w:pPr>
                    <w:r w:rsidRPr="004F3001">
                      <w:rPr>
                        <w:rFonts w:ascii="Arial" w:eastAsia="Times New Roman" w:hAnsi="Arial" w:cs="Arial"/>
                        <w:color w:val="3F4548"/>
                        <w:kern w:val="24"/>
                        <w:sz w:val="20"/>
                        <w:szCs w:val="20"/>
                        <w:lang w:eastAsia="zh-TW"/>
                      </w:rPr>
                      <w:t>6.4%</w:t>
                    </w:r>
                  </w:p>
                </w:tc>
                <w:tc>
                  <w:tcPr>
                    <w:tcW w:w="1700" w:type="dxa"/>
                    <w:tcBorders>
                      <w:top w:val="nil"/>
                      <w:left w:val="single" w:sz="8" w:space="0" w:color="A6A6A6"/>
                      <w:bottom w:val="nil"/>
                      <w:right w:val="single" w:sz="8" w:space="0" w:color="A6A6A6"/>
                    </w:tcBorders>
                    <w:hideMark/>
                  </w:tcPr>
                  <w:p w14:paraId="201E33AD" w14:textId="77777777" w:rsidR="00501D3F" w:rsidRPr="004F3001" w:rsidRDefault="00501D3F" w:rsidP="000230E1">
                    <w:pPr>
                      <w:spacing w:after="0" w:line="240" w:lineRule="auto"/>
                      <w:jc w:val="center"/>
                      <w:rPr>
                        <w:rFonts w:ascii="Arial" w:eastAsia="Times New Roman" w:hAnsi="Arial" w:cs="Arial"/>
                        <w:sz w:val="20"/>
                        <w:szCs w:val="20"/>
                        <w:lang w:eastAsia="zh-TW"/>
                      </w:rPr>
                    </w:pPr>
                    <w:r w:rsidRPr="004F3001">
                      <w:rPr>
                        <w:rFonts w:ascii="Arial" w:eastAsia="Times New Roman" w:hAnsi="Arial" w:cs="Arial"/>
                        <w:color w:val="3F4548"/>
                        <w:kern w:val="24"/>
                        <w:sz w:val="20"/>
                        <w:szCs w:val="20"/>
                        <w:lang w:eastAsia="zh-TW"/>
                      </w:rPr>
                      <w:t>5.0%</w:t>
                    </w:r>
                  </w:p>
                </w:tc>
                <w:tc>
                  <w:tcPr>
                    <w:tcW w:w="1700" w:type="dxa"/>
                    <w:tcBorders>
                      <w:top w:val="nil"/>
                      <w:left w:val="single" w:sz="8" w:space="0" w:color="A6A6A6"/>
                      <w:bottom w:val="nil"/>
                      <w:right w:val="single" w:sz="8" w:space="0" w:color="A6A6A6"/>
                    </w:tcBorders>
                    <w:tcMar>
                      <w:top w:w="72" w:type="dxa"/>
                      <w:left w:w="144" w:type="dxa"/>
                      <w:bottom w:w="72" w:type="dxa"/>
                      <w:right w:w="144" w:type="dxa"/>
                    </w:tcMar>
                    <w:hideMark/>
                  </w:tcPr>
                  <w:p w14:paraId="41B143A6" w14:textId="77777777" w:rsidR="00501D3F" w:rsidRPr="004F3001" w:rsidRDefault="00501D3F" w:rsidP="000230E1">
                    <w:pPr>
                      <w:spacing w:after="0" w:line="240" w:lineRule="auto"/>
                      <w:jc w:val="center"/>
                      <w:rPr>
                        <w:rFonts w:ascii="Arial" w:eastAsia="Times New Roman" w:hAnsi="Arial" w:cs="Arial"/>
                        <w:sz w:val="20"/>
                        <w:szCs w:val="20"/>
                        <w:lang w:eastAsia="zh-TW"/>
                      </w:rPr>
                    </w:pPr>
                    <w:r w:rsidRPr="004F3001">
                      <w:rPr>
                        <w:rFonts w:ascii="Arial" w:eastAsia="Times New Roman" w:hAnsi="Arial" w:cs="Arial"/>
                        <w:color w:val="3F4548"/>
                        <w:kern w:val="24"/>
                        <w:sz w:val="20"/>
                        <w:szCs w:val="20"/>
                        <w:lang w:eastAsia="zh-TW"/>
                      </w:rPr>
                      <w:t>3.3%</w:t>
                    </w:r>
                  </w:p>
                </w:tc>
              </w:tr>
              <w:tr w:rsidR="00501D3F" w:rsidRPr="004F3001" w14:paraId="76ED65CF" w14:textId="77777777" w:rsidTr="00EF7358">
                <w:trPr>
                  <w:trHeight w:val="279"/>
                </w:trPr>
                <w:tc>
                  <w:tcPr>
                    <w:tcW w:w="2020" w:type="dxa"/>
                    <w:tcBorders>
                      <w:top w:val="nil"/>
                      <w:left w:val="nil"/>
                      <w:bottom w:val="nil"/>
                      <w:right w:val="single" w:sz="8" w:space="0" w:color="A6A6A6"/>
                    </w:tcBorders>
                    <w:shd w:val="clear" w:color="auto" w:fill="D8EAF1"/>
                    <w:tcMar>
                      <w:top w:w="72" w:type="dxa"/>
                      <w:left w:w="144" w:type="dxa"/>
                      <w:bottom w:w="72" w:type="dxa"/>
                      <w:right w:w="144" w:type="dxa"/>
                    </w:tcMar>
                    <w:hideMark/>
                  </w:tcPr>
                  <w:p w14:paraId="7DDA0EB6" w14:textId="77777777" w:rsidR="00501D3F" w:rsidRPr="004F3001" w:rsidRDefault="00501D3F" w:rsidP="000230E1">
                    <w:pPr>
                      <w:spacing w:after="0" w:line="240" w:lineRule="auto"/>
                      <w:rPr>
                        <w:rFonts w:ascii="Arial" w:eastAsia="Times New Roman" w:hAnsi="Arial" w:cs="Arial"/>
                        <w:sz w:val="20"/>
                        <w:szCs w:val="20"/>
                        <w:lang w:eastAsia="zh-TW"/>
                      </w:rPr>
                    </w:pPr>
                    <w:r w:rsidRPr="004F3001">
                      <w:rPr>
                        <w:rFonts w:ascii="Arial" w:eastAsia="Times New Roman" w:hAnsi="Arial" w:cs="Arial"/>
                        <w:color w:val="3F4548"/>
                        <w:kern w:val="24"/>
                        <w:sz w:val="20"/>
                        <w:szCs w:val="20"/>
                        <w:lang w:eastAsia="zh-TW"/>
                      </w:rPr>
                      <w:t>Pension</w:t>
                    </w:r>
                  </w:p>
                </w:tc>
                <w:tc>
                  <w:tcPr>
                    <w:tcW w:w="920" w:type="dxa"/>
                    <w:tcBorders>
                      <w:top w:val="nil"/>
                      <w:left w:val="single" w:sz="8" w:space="0" w:color="A6A6A6"/>
                      <w:bottom w:val="nil"/>
                      <w:right w:val="single" w:sz="8" w:space="0" w:color="A6A6A6"/>
                    </w:tcBorders>
                    <w:shd w:val="clear" w:color="auto" w:fill="D8EAF1"/>
                    <w:tcMar>
                      <w:top w:w="72" w:type="dxa"/>
                      <w:left w:w="144" w:type="dxa"/>
                      <w:bottom w:w="72" w:type="dxa"/>
                      <w:right w:w="144" w:type="dxa"/>
                    </w:tcMar>
                    <w:hideMark/>
                  </w:tcPr>
                  <w:p w14:paraId="317344DE" w14:textId="77777777" w:rsidR="00501D3F" w:rsidRPr="004F3001" w:rsidRDefault="00501D3F" w:rsidP="000230E1">
                    <w:pPr>
                      <w:spacing w:after="0" w:line="240" w:lineRule="auto"/>
                      <w:jc w:val="center"/>
                      <w:rPr>
                        <w:rFonts w:ascii="Arial" w:eastAsia="Times New Roman" w:hAnsi="Arial" w:cs="Arial"/>
                        <w:sz w:val="20"/>
                        <w:szCs w:val="20"/>
                        <w:lang w:eastAsia="zh-TW"/>
                      </w:rPr>
                    </w:pPr>
                    <w:r w:rsidRPr="004F3001">
                      <w:rPr>
                        <w:rFonts w:ascii="Arial" w:eastAsia="Times New Roman" w:hAnsi="Arial" w:cs="Arial"/>
                        <w:color w:val="3F4548"/>
                        <w:kern w:val="24"/>
                        <w:sz w:val="20"/>
                        <w:szCs w:val="20"/>
                        <w:lang w:eastAsia="zh-TW"/>
                      </w:rPr>
                      <w:t>SP</w:t>
                    </w:r>
                  </w:p>
                </w:tc>
                <w:tc>
                  <w:tcPr>
                    <w:tcW w:w="1240" w:type="dxa"/>
                    <w:tcBorders>
                      <w:top w:val="nil"/>
                      <w:left w:val="single" w:sz="8" w:space="0" w:color="A6A6A6"/>
                      <w:bottom w:val="nil"/>
                      <w:right w:val="single" w:sz="8" w:space="0" w:color="A6A6A6"/>
                    </w:tcBorders>
                    <w:shd w:val="clear" w:color="auto" w:fill="D8EAF1"/>
                    <w:tcMar>
                      <w:top w:w="72" w:type="dxa"/>
                      <w:left w:w="144" w:type="dxa"/>
                      <w:bottom w:w="72" w:type="dxa"/>
                      <w:right w:w="144" w:type="dxa"/>
                    </w:tcMar>
                    <w:hideMark/>
                  </w:tcPr>
                  <w:p w14:paraId="2E25D017" w14:textId="77777777" w:rsidR="00501D3F" w:rsidRPr="004F3001" w:rsidRDefault="00501D3F" w:rsidP="000230E1">
                    <w:pPr>
                      <w:spacing w:after="0" w:line="240" w:lineRule="auto"/>
                      <w:jc w:val="center"/>
                      <w:rPr>
                        <w:rFonts w:ascii="Arial" w:eastAsia="Times New Roman" w:hAnsi="Arial" w:cs="Arial"/>
                        <w:sz w:val="20"/>
                        <w:szCs w:val="20"/>
                        <w:lang w:eastAsia="zh-TW"/>
                      </w:rPr>
                    </w:pPr>
                    <w:r w:rsidRPr="004F3001">
                      <w:rPr>
                        <w:rFonts w:ascii="Arial" w:eastAsia="Times New Roman" w:hAnsi="Arial" w:cs="Arial"/>
                        <w:color w:val="3F4548"/>
                        <w:kern w:val="24"/>
                        <w:sz w:val="20"/>
                        <w:szCs w:val="20"/>
                        <w:lang w:eastAsia="zh-TW"/>
                      </w:rPr>
                      <w:t>30</w:t>
                    </w:r>
                  </w:p>
                </w:tc>
                <w:tc>
                  <w:tcPr>
                    <w:tcW w:w="1700" w:type="dxa"/>
                    <w:tcBorders>
                      <w:top w:val="nil"/>
                      <w:left w:val="single" w:sz="8" w:space="0" w:color="A6A6A6"/>
                      <w:bottom w:val="nil"/>
                      <w:right w:val="single" w:sz="8" w:space="0" w:color="A6A6A6"/>
                    </w:tcBorders>
                    <w:shd w:val="clear" w:color="auto" w:fill="D8EAF1"/>
                    <w:tcMar>
                      <w:top w:w="72" w:type="dxa"/>
                      <w:left w:w="144" w:type="dxa"/>
                      <w:bottom w:w="72" w:type="dxa"/>
                      <w:right w:w="144" w:type="dxa"/>
                    </w:tcMar>
                    <w:hideMark/>
                  </w:tcPr>
                  <w:p w14:paraId="7BACDB38" w14:textId="77777777" w:rsidR="00501D3F" w:rsidRPr="004F3001" w:rsidRDefault="00501D3F" w:rsidP="000230E1">
                    <w:pPr>
                      <w:spacing w:after="0" w:line="240" w:lineRule="auto"/>
                      <w:jc w:val="center"/>
                      <w:rPr>
                        <w:rFonts w:ascii="Arial" w:eastAsia="Times New Roman" w:hAnsi="Arial" w:cs="Arial"/>
                        <w:sz w:val="20"/>
                        <w:szCs w:val="20"/>
                        <w:lang w:eastAsia="zh-TW"/>
                      </w:rPr>
                    </w:pPr>
                    <w:r w:rsidRPr="004F3001">
                      <w:rPr>
                        <w:rFonts w:ascii="Arial" w:eastAsia="Times New Roman" w:hAnsi="Arial" w:cs="Arial"/>
                        <w:color w:val="3F4548"/>
                        <w:kern w:val="24"/>
                        <w:sz w:val="20"/>
                        <w:szCs w:val="20"/>
                        <w:lang w:eastAsia="zh-TW"/>
                      </w:rPr>
                      <w:t>8.9%</w:t>
                    </w:r>
                  </w:p>
                </w:tc>
                <w:tc>
                  <w:tcPr>
                    <w:tcW w:w="1700" w:type="dxa"/>
                    <w:tcBorders>
                      <w:top w:val="nil"/>
                      <w:left w:val="single" w:sz="8" w:space="0" w:color="A6A6A6"/>
                      <w:bottom w:val="nil"/>
                      <w:right w:val="single" w:sz="8" w:space="0" w:color="A6A6A6"/>
                    </w:tcBorders>
                    <w:shd w:val="clear" w:color="auto" w:fill="D8EAF1"/>
                  </w:tcPr>
                  <w:p w14:paraId="3162DD85" w14:textId="77777777" w:rsidR="00501D3F" w:rsidRPr="004F3001" w:rsidRDefault="00501D3F" w:rsidP="000230E1">
                    <w:pPr>
                      <w:spacing w:after="0" w:line="240" w:lineRule="auto"/>
                      <w:rPr>
                        <w:rFonts w:ascii="Arial" w:eastAsia="Times New Roman" w:hAnsi="Arial" w:cs="Arial"/>
                        <w:sz w:val="20"/>
                        <w:szCs w:val="20"/>
                        <w:lang w:eastAsia="zh-TW"/>
                      </w:rPr>
                    </w:pPr>
                  </w:p>
                </w:tc>
                <w:tc>
                  <w:tcPr>
                    <w:tcW w:w="1700" w:type="dxa"/>
                    <w:tcBorders>
                      <w:top w:val="nil"/>
                      <w:left w:val="single" w:sz="8" w:space="0" w:color="A6A6A6"/>
                      <w:bottom w:val="nil"/>
                      <w:right w:val="single" w:sz="8" w:space="0" w:color="A6A6A6"/>
                    </w:tcBorders>
                    <w:shd w:val="clear" w:color="auto" w:fill="D8EAF1"/>
                    <w:tcMar>
                      <w:top w:w="72" w:type="dxa"/>
                      <w:left w:w="144" w:type="dxa"/>
                      <w:bottom w:w="72" w:type="dxa"/>
                      <w:right w:w="144" w:type="dxa"/>
                    </w:tcMar>
                    <w:hideMark/>
                  </w:tcPr>
                  <w:p w14:paraId="38D8F9A1" w14:textId="77777777" w:rsidR="00501D3F" w:rsidRPr="004F3001" w:rsidRDefault="00501D3F" w:rsidP="000230E1">
                    <w:pPr>
                      <w:spacing w:after="0" w:line="240" w:lineRule="auto"/>
                      <w:jc w:val="center"/>
                      <w:rPr>
                        <w:rFonts w:ascii="Arial" w:eastAsia="Times New Roman" w:hAnsi="Arial" w:cs="Arial"/>
                        <w:sz w:val="20"/>
                        <w:szCs w:val="20"/>
                        <w:lang w:eastAsia="zh-TW"/>
                      </w:rPr>
                    </w:pPr>
                    <w:r w:rsidRPr="004F3001">
                      <w:rPr>
                        <w:rFonts w:ascii="Arial" w:eastAsia="Times New Roman" w:hAnsi="Arial" w:cs="Arial"/>
                        <w:color w:val="3F4548"/>
                        <w:kern w:val="24"/>
                        <w:sz w:val="20"/>
                        <w:szCs w:val="20"/>
                        <w:lang w:eastAsia="zh-TW"/>
                      </w:rPr>
                      <w:t>5.5%</w:t>
                    </w:r>
                  </w:p>
                </w:tc>
              </w:tr>
              <w:tr w:rsidR="00501D3F" w:rsidRPr="004F3001" w14:paraId="3F34200D" w14:textId="77777777" w:rsidTr="00EF7358">
                <w:trPr>
                  <w:trHeight w:val="271"/>
                </w:trPr>
                <w:tc>
                  <w:tcPr>
                    <w:tcW w:w="2020" w:type="dxa"/>
                    <w:tcBorders>
                      <w:top w:val="nil"/>
                      <w:left w:val="nil"/>
                      <w:bottom w:val="nil"/>
                      <w:right w:val="single" w:sz="8" w:space="0" w:color="A6A6A6"/>
                    </w:tcBorders>
                    <w:tcMar>
                      <w:top w:w="72" w:type="dxa"/>
                      <w:left w:w="144" w:type="dxa"/>
                      <w:bottom w:w="72" w:type="dxa"/>
                      <w:right w:w="144" w:type="dxa"/>
                    </w:tcMar>
                    <w:hideMark/>
                  </w:tcPr>
                  <w:p w14:paraId="0C67AB9E" w14:textId="77777777" w:rsidR="00501D3F" w:rsidRPr="004F3001" w:rsidRDefault="00501D3F" w:rsidP="000230E1">
                    <w:pPr>
                      <w:spacing w:after="0" w:line="240" w:lineRule="auto"/>
                      <w:rPr>
                        <w:rFonts w:ascii="Arial" w:eastAsia="Times New Roman" w:hAnsi="Arial" w:cs="Arial"/>
                        <w:sz w:val="20"/>
                        <w:szCs w:val="20"/>
                        <w:lang w:eastAsia="zh-TW"/>
                      </w:rPr>
                    </w:pPr>
                    <w:r w:rsidRPr="004F3001">
                      <w:rPr>
                        <w:rFonts w:ascii="Arial" w:eastAsia="Times New Roman" w:hAnsi="Arial" w:cs="Arial"/>
                        <w:color w:val="3F4548"/>
                        <w:kern w:val="24"/>
                        <w:sz w:val="20"/>
                        <w:szCs w:val="20"/>
                        <w:lang w:eastAsia="zh-TW"/>
                      </w:rPr>
                      <w:t>Endowment</w:t>
                    </w:r>
                  </w:p>
                </w:tc>
                <w:tc>
                  <w:tcPr>
                    <w:tcW w:w="920" w:type="dxa"/>
                    <w:tcBorders>
                      <w:top w:val="nil"/>
                      <w:left w:val="single" w:sz="8" w:space="0" w:color="A6A6A6"/>
                      <w:bottom w:val="nil"/>
                      <w:right w:val="single" w:sz="8" w:space="0" w:color="A6A6A6"/>
                    </w:tcBorders>
                    <w:tcMar>
                      <w:top w:w="72" w:type="dxa"/>
                      <w:left w:w="144" w:type="dxa"/>
                      <w:bottom w:w="72" w:type="dxa"/>
                      <w:right w:w="144" w:type="dxa"/>
                    </w:tcMar>
                    <w:hideMark/>
                  </w:tcPr>
                  <w:p w14:paraId="002F71CB" w14:textId="77777777" w:rsidR="00501D3F" w:rsidRPr="004F3001" w:rsidRDefault="00501D3F" w:rsidP="000230E1">
                    <w:pPr>
                      <w:spacing w:after="0" w:line="240" w:lineRule="auto"/>
                      <w:jc w:val="center"/>
                      <w:rPr>
                        <w:rFonts w:ascii="Arial" w:eastAsia="Times New Roman" w:hAnsi="Arial" w:cs="Arial"/>
                        <w:sz w:val="20"/>
                        <w:szCs w:val="20"/>
                        <w:lang w:eastAsia="zh-TW"/>
                      </w:rPr>
                    </w:pPr>
                    <w:r w:rsidRPr="004F3001">
                      <w:rPr>
                        <w:rFonts w:ascii="Arial" w:eastAsia="Times New Roman" w:hAnsi="Arial" w:cs="Arial"/>
                        <w:color w:val="3F4548"/>
                        <w:kern w:val="24"/>
                        <w:sz w:val="20"/>
                        <w:szCs w:val="20"/>
                        <w:lang w:eastAsia="zh-TW"/>
                      </w:rPr>
                      <w:t>SP</w:t>
                    </w:r>
                  </w:p>
                </w:tc>
                <w:tc>
                  <w:tcPr>
                    <w:tcW w:w="1240" w:type="dxa"/>
                    <w:tcBorders>
                      <w:top w:val="nil"/>
                      <w:left w:val="single" w:sz="8" w:space="0" w:color="A6A6A6"/>
                      <w:bottom w:val="nil"/>
                      <w:right w:val="single" w:sz="8" w:space="0" w:color="A6A6A6"/>
                    </w:tcBorders>
                    <w:tcMar>
                      <w:top w:w="72" w:type="dxa"/>
                      <w:left w:w="144" w:type="dxa"/>
                      <w:bottom w:w="72" w:type="dxa"/>
                      <w:right w:w="144" w:type="dxa"/>
                    </w:tcMar>
                    <w:hideMark/>
                  </w:tcPr>
                  <w:p w14:paraId="372D1E5C" w14:textId="77777777" w:rsidR="00501D3F" w:rsidRPr="004F3001" w:rsidRDefault="00501D3F" w:rsidP="000230E1">
                    <w:pPr>
                      <w:spacing w:after="0" w:line="240" w:lineRule="auto"/>
                      <w:jc w:val="center"/>
                      <w:rPr>
                        <w:rFonts w:ascii="Arial" w:eastAsia="Times New Roman" w:hAnsi="Arial" w:cs="Arial"/>
                        <w:sz w:val="20"/>
                        <w:szCs w:val="20"/>
                        <w:lang w:eastAsia="zh-TW"/>
                      </w:rPr>
                    </w:pPr>
                    <w:r w:rsidRPr="004F3001">
                      <w:rPr>
                        <w:rFonts w:ascii="Arial" w:eastAsia="Times New Roman" w:hAnsi="Arial" w:cs="Arial"/>
                        <w:color w:val="3F4548"/>
                        <w:kern w:val="24"/>
                        <w:sz w:val="20"/>
                        <w:szCs w:val="20"/>
                        <w:lang w:eastAsia="zh-TW"/>
                      </w:rPr>
                      <w:t>10</w:t>
                    </w:r>
                  </w:p>
                </w:tc>
                <w:tc>
                  <w:tcPr>
                    <w:tcW w:w="1700" w:type="dxa"/>
                    <w:tcBorders>
                      <w:top w:val="nil"/>
                      <w:left w:val="single" w:sz="8" w:space="0" w:color="A6A6A6"/>
                      <w:bottom w:val="nil"/>
                      <w:right w:val="single" w:sz="8" w:space="0" w:color="A6A6A6"/>
                    </w:tcBorders>
                    <w:tcMar>
                      <w:top w:w="72" w:type="dxa"/>
                      <w:left w:w="144" w:type="dxa"/>
                      <w:bottom w:w="72" w:type="dxa"/>
                      <w:right w:w="144" w:type="dxa"/>
                    </w:tcMar>
                    <w:hideMark/>
                  </w:tcPr>
                  <w:p w14:paraId="58F2904E" w14:textId="77777777" w:rsidR="00501D3F" w:rsidRPr="004F3001" w:rsidRDefault="00501D3F" w:rsidP="000230E1">
                    <w:pPr>
                      <w:spacing w:after="0" w:line="240" w:lineRule="auto"/>
                      <w:jc w:val="center"/>
                      <w:rPr>
                        <w:rFonts w:ascii="Arial" w:eastAsia="Times New Roman" w:hAnsi="Arial" w:cs="Arial"/>
                        <w:sz w:val="20"/>
                        <w:szCs w:val="20"/>
                        <w:lang w:eastAsia="zh-TW"/>
                      </w:rPr>
                    </w:pPr>
                    <w:r w:rsidRPr="004F3001">
                      <w:rPr>
                        <w:rFonts w:ascii="Arial" w:eastAsia="Times New Roman" w:hAnsi="Arial" w:cs="Arial"/>
                        <w:color w:val="3F4548"/>
                        <w:kern w:val="24"/>
                        <w:sz w:val="20"/>
                        <w:szCs w:val="20"/>
                        <w:lang w:eastAsia="zh-TW"/>
                      </w:rPr>
                      <w:t>4.1%</w:t>
                    </w:r>
                  </w:p>
                </w:tc>
                <w:tc>
                  <w:tcPr>
                    <w:tcW w:w="1700" w:type="dxa"/>
                    <w:tcBorders>
                      <w:top w:val="nil"/>
                      <w:left w:val="single" w:sz="8" w:space="0" w:color="A6A6A6"/>
                      <w:bottom w:val="nil"/>
                      <w:right w:val="single" w:sz="8" w:space="0" w:color="A6A6A6"/>
                    </w:tcBorders>
                  </w:tcPr>
                  <w:p w14:paraId="6C96E33D" w14:textId="77777777" w:rsidR="00501D3F" w:rsidRPr="004F3001" w:rsidRDefault="00501D3F" w:rsidP="000230E1">
                    <w:pPr>
                      <w:spacing w:after="0" w:line="240" w:lineRule="auto"/>
                      <w:rPr>
                        <w:rFonts w:ascii="Arial" w:eastAsia="Times New Roman" w:hAnsi="Arial" w:cs="Arial"/>
                        <w:sz w:val="20"/>
                        <w:szCs w:val="20"/>
                        <w:lang w:eastAsia="zh-TW"/>
                      </w:rPr>
                    </w:pPr>
                  </w:p>
                </w:tc>
                <w:tc>
                  <w:tcPr>
                    <w:tcW w:w="1700" w:type="dxa"/>
                    <w:tcBorders>
                      <w:top w:val="nil"/>
                      <w:left w:val="single" w:sz="8" w:space="0" w:color="A6A6A6"/>
                      <w:bottom w:val="nil"/>
                      <w:right w:val="single" w:sz="8" w:space="0" w:color="A6A6A6"/>
                    </w:tcBorders>
                    <w:tcMar>
                      <w:top w:w="72" w:type="dxa"/>
                      <w:left w:w="144" w:type="dxa"/>
                      <w:bottom w:w="72" w:type="dxa"/>
                      <w:right w:w="144" w:type="dxa"/>
                    </w:tcMar>
                    <w:hideMark/>
                  </w:tcPr>
                  <w:p w14:paraId="7398925E" w14:textId="77777777" w:rsidR="00501D3F" w:rsidRPr="004F3001" w:rsidRDefault="00501D3F" w:rsidP="000230E1">
                    <w:pPr>
                      <w:spacing w:after="0" w:line="240" w:lineRule="auto"/>
                      <w:jc w:val="center"/>
                      <w:rPr>
                        <w:rFonts w:ascii="Arial" w:eastAsia="Times New Roman" w:hAnsi="Arial" w:cs="Arial"/>
                        <w:sz w:val="20"/>
                        <w:szCs w:val="20"/>
                        <w:lang w:eastAsia="zh-TW"/>
                      </w:rPr>
                    </w:pPr>
                    <w:r w:rsidRPr="004F3001">
                      <w:rPr>
                        <w:rFonts w:ascii="Arial" w:eastAsia="Times New Roman" w:hAnsi="Arial" w:cs="Arial"/>
                        <w:color w:val="3F4548"/>
                        <w:kern w:val="24"/>
                        <w:sz w:val="20"/>
                        <w:szCs w:val="20"/>
                        <w:lang w:eastAsia="zh-TW"/>
                      </w:rPr>
                      <w:t>2.5%</w:t>
                    </w:r>
                  </w:p>
                </w:tc>
              </w:tr>
              <w:tr w:rsidR="00501D3F" w:rsidRPr="004F3001" w14:paraId="0508A741" w14:textId="77777777" w:rsidTr="00EF7358">
                <w:trPr>
                  <w:trHeight w:val="291"/>
                </w:trPr>
                <w:tc>
                  <w:tcPr>
                    <w:tcW w:w="2020" w:type="dxa"/>
                    <w:tcBorders>
                      <w:top w:val="nil"/>
                      <w:left w:val="nil"/>
                      <w:bottom w:val="nil"/>
                      <w:right w:val="single" w:sz="8" w:space="0" w:color="A6A6A6"/>
                    </w:tcBorders>
                    <w:shd w:val="clear" w:color="auto" w:fill="D8EAF1"/>
                    <w:tcMar>
                      <w:top w:w="72" w:type="dxa"/>
                      <w:left w:w="144" w:type="dxa"/>
                      <w:bottom w:w="72" w:type="dxa"/>
                      <w:right w:w="144" w:type="dxa"/>
                    </w:tcMar>
                    <w:hideMark/>
                  </w:tcPr>
                  <w:p w14:paraId="4DBE6EF5" w14:textId="77777777" w:rsidR="00501D3F" w:rsidRPr="004F3001" w:rsidRDefault="00501D3F" w:rsidP="000230E1">
                    <w:pPr>
                      <w:spacing w:after="0" w:line="240" w:lineRule="auto"/>
                      <w:rPr>
                        <w:rFonts w:ascii="Arial" w:eastAsia="Times New Roman" w:hAnsi="Arial" w:cs="Arial"/>
                        <w:sz w:val="20"/>
                        <w:szCs w:val="20"/>
                        <w:lang w:eastAsia="zh-TW"/>
                      </w:rPr>
                    </w:pPr>
                    <w:r w:rsidRPr="004F3001">
                      <w:rPr>
                        <w:rFonts w:ascii="Arial" w:eastAsia="Times New Roman" w:hAnsi="Arial" w:cs="Arial"/>
                        <w:color w:val="3F4548"/>
                        <w:kern w:val="24"/>
                        <w:sz w:val="20"/>
                        <w:szCs w:val="20"/>
                        <w:lang w:eastAsia="zh-TW"/>
                      </w:rPr>
                      <w:t>Endowment</w:t>
                    </w:r>
                  </w:p>
                </w:tc>
                <w:tc>
                  <w:tcPr>
                    <w:tcW w:w="920" w:type="dxa"/>
                    <w:tcBorders>
                      <w:top w:val="nil"/>
                      <w:left w:val="single" w:sz="8" w:space="0" w:color="A6A6A6"/>
                      <w:bottom w:val="nil"/>
                      <w:right w:val="single" w:sz="8" w:space="0" w:color="A6A6A6"/>
                    </w:tcBorders>
                    <w:shd w:val="clear" w:color="auto" w:fill="D8EAF1"/>
                    <w:tcMar>
                      <w:top w:w="72" w:type="dxa"/>
                      <w:left w:w="144" w:type="dxa"/>
                      <w:bottom w:w="72" w:type="dxa"/>
                      <w:right w:w="144" w:type="dxa"/>
                    </w:tcMar>
                    <w:hideMark/>
                  </w:tcPr>
                  <w:p w14:paraId="1DB39DD9" w14:textId="77777777" w:rsidR="00501D3F" w:rsidRPr="004F3001" w:rsidRDefault="00501D3F" w:rsidP="000230E1">
                    <w:pPr>
                      <w:spacing w:after="0" w:line="240" w:lineRule="auto"/>
                      <w:jc w:val="center"/>
                      <w:rPr>
                        <w:rFonts w:ascii="Arial" w:eastAsia="Times New Roman" w:hAnsi="Arial" w:cs="Arial"/>
                        <w:sz w:val="20"/>
                        <w:szCs w:val="20"/>
                        <w:lang w:eastAsia="zh-TW"/>
                      </w:rPr>
                    </w:pPr>
                    <w:r w:rsidRPr="004F3001">
                      <w:rPr>
                        <w:rFonts w:ascii="Arial" w:eastAsia="Times New Roman" w:hAnsi="Arial" w:cs="Arial"/>
                        <w:color w:val="3F4548"/>
                        <w:kern w:val="24"/>
                        <w:sz w:val="20"/>
                        <w:szCs w:val="20"/>
                        <w:lang w:eastAsia="zh-TW"/>
                      </w:rPr>
                      <w:t>SP</w:t>
                    </w:r>
                  </w:p>
                </w:tc>
                <w:tc>
                  <w:tcPr>
                    <w:tcW w:w="1240" w:type="dxa"/>
                    <w:tcBorders>
                      <w:top w:val="nil"/>
                      <w:left w:val="single" w:sz="8" w:space="0" w:color="A6A6A6"/>
                      <w:bottom w:val="nil"/>
                      <w:right w:val="single" w:sz="8" w:space="0" w:color="A6A6A6"/>
                    </w:tcBorders>
                    <w:shd w:val="clear" w:color="auto" w:fill="D8EAF1"/>
                    <w:tcMar>
                      <w:top w:w="72" w:type="dxa"/>
                      <w:left w:w="144" w:type="dxa"/>
                      <w:bottom w:w="72" w:type="dxa"/>
                      <w:right w:w="144" w:type="dxa"/>
                    </w:tcMar>
                    <w:hideMark/>
                  </w:tcPr>
                  <w:p w14:paraId="0EBB5671" w14:textId="77777777" w:rsidR="00501D3F" w:rsidRPr="004F3001" w:rsidRDefault="00501D3F" w:rsidP="000230E1">
                    <w:pPr>
                      <w:spacing w:after="0" w:line="240" w:lineRule="auto"/>
                      <w:jc w:val="center"/>
                      <w:rPr>
                        <w:rFonts w:ascii="Arial" w:eastAsia="Times New Roman" w:hAnsi="Arial" w:cs="Arial"/>
                        <w:sz w:val="20"/>
                        <w:szCs w:val="20"/>
                        <w:lang w:eastAsia="zh-TW"/>
                      </w:rPr>
                    </w:pPr>
                    <w:r w:rsidRPr="004F3001">
                      <w:rPr>
                        <w:rFonts w:ascii="Arial" w:eastAsia="Times New Roman" w:hAnsi="Arial" w:cs="Arial"/>
                        <w:color w:val="3F4548"/>
                        <w:kern w:val="24"/>
                        <w:sz w:val="20"/>
                        <w:szCs w:val="20"/>
                        <w:lang w:eastAsia="zh-TW"/>
                      </w:rPr>
                      <w:t>25</w:t>
                    </w:r>
                  </w:p>
                </w:tc>
                <w:tc>
                  <w:tcPr>
                    <w:tcW w:w="1700" w:type="dxa"/>
                    <w:tcBorders>
                      <w:top w:val="nil"/>
                      <w:left w:val="single" w:sz="8" w:space="0" w:color="A6A6A6"/>
                      <w:bottom w:val="nil"/>
                      <w:right w:val="single" w:sz="8" w:space="0" w:color="A6A6A6"/>
                    </w:tcBorders>
                    <w:shd w:val="clear" w:color="auto" w:fill="D8EAF1"/>
                    <w:tcMar>
                      <w:top w:w="72" w:type="dxa"/>
                      <w:left w:w="144" w:type="dxa"/>
                      <w:bottom w:w="72" w:type="dxa"/>
                      <w:right w:w="144" w:type="dxa"/>
                    </w:tcMar>
                    <w:hideMark/>
                  </w:tcPr>
                  <w:p w14:paraId="43EFE0E7" w14:textId="77777777" w:rsidR="00501D3F" w:rsidRPr="004F3001" w:rsidRDefault="00501D3F" w:rsidP="000230E1">
                    <w:pPr>
                      <w:spacing w:after="0" w:line="240" w:lineRule="auto"/>
                      <w:jc w:val="center"/>
                      <w:rPr>
                        <w:rFonts w:ascii="Arial" w:eastAsia="Times New Roman" w:hAnsi="Arial" w:cs="Arial"/>
                        <w:sz w:val="20"/>
                        <w:szCs w:val="20"/>
                        <w:lang w:eastAsia="zh-TW"/>
                      </w:rPr>
                    </w:pPr>
                    <w:r w:rsidRPr="004F3001">
                      <w:rPr>
                        <w:rFonts w:ascii="Arial" w:eastAsia="Times New Roman" w:hAnsi="Arial" w:cs="Arial"/>
                        <w:color w:val="3F4548"/>
                        <w:kern w:val="24"/>
                        <w:sz w:val="20"/>
                        <w:szCs w:val="20"/>
                        <w:lang w:eastAsia="zh-TW"/>
                      </w:rPr>
                      <w:t>5.9%</w:t>
                    </w:r>
                  </w:p>
                </w:tc>
                <w:tc>
                  <w:tcPr>
                    <w:tcW w:w="1700" w:type="dxa"/>
                    <w:tcBorders>
                      <w:top w:val="nil"/>
                      <w:left w:val="single" w:sz="8" w:space="0" w:color="A6A6A6"/>
                      <w:bottom w:val="nil"/>
                      <w:right w:val="single" w:sz="8" w:space="0" w:color="A6A6A6"/>
                    </w:tcBorders>
                    <w:shd w:val="clear" w:color="auto" w:fill="D8EAF1"/>
                  </w:tcPr>
                  <w:p w14:paraId="6493CC11" w14:textId="77777777" w:rsidR="00501D3F" w:rsidRPr="004F3001" w:rsidRDefault="00501D3F" w:rsidP="000230E1">
                    <w:pPr>
                      <w:spacing w:after="0" w:line="240" w:lineRule="auto"/>
                      <w:rPr>
                        <w:rFonts w:ascii="Arial" w:eastAsia="Times New Roman" w:hAnsi="Arial" w:cs="Arial"/>
                        <w:sz w:val="20"/>
                        <w:szCs w:val="20"/>
                        <w:lang w:eastAsia="zh-TW"/>
                      </w:rPr>
                    </w:pPr>
                  </w:p>
                </w:tc>
                <w:tc>
                  <w:tcPr>
                    <w:tcW w:w="1700" w:type="dxa"/>
                    <w:tcBorders>
                      <w:top w:val="nil"/>
                      <w:left w:val="single" w:sz="8" w:space="0" w:color="A6A6A6"/>
                      <w:bottom w:val="nil"/>
                      <w:right w:val="single" w:sz="8" w:space="0" w:color="A6A6A6"/>
                    </w:tcBorders>
                    <w:shd w:val="clear" w:color="auto" w:fill="D8EAF1"/>
                    <w:tcMar>
                      <w:top w:w="72" w:type="dxa"/>
                      <w:left w:w="144" w:type="dxa"/>
                      <w:bottom w:w="72" w:type="dxa"/>
                      <w:right w:w="144" w:type="dxa"/>
                    </w:tcMar>
                    <w:hideMark/>
                  </w:tcPr>
                  <w:p w14:paraId="15089354" w14:textId="77777777" w:rsidR="00501D3F" w:rsidRPr="004F3001" w:rsidRDefault="00501D3F" w:rsidP="000230E1">
                    <w:pPr>
                      <w:spacing w:after="0" w:line="240" w:lineRule="auto"/>
                      <w:jc w:val="center"/>
                      <w:rPr>
                        <w:rFonts w:ascii="Arial" w:eastAsia="Times New Roman" w:hAnsi="Arial" w:cs="Arial"/>
                        <w:sz w:val="20"/>
                        <w:szCs w:val="20"/>
                        <w:lang w:eastAsia="zh-TW"/>
                      </w:rPr>
                    </w:pPr>
                    <w:r w:rsidRPr="004F3001">
                      <w:rPr>
                        <w:rFonts w:ascii="Arial" w:eastAsia="Times New Roman" w:hAnsi="Arial" w:cs="Arial"/>
                        <w:color w:val="3F4548"/>
                        <w:kern w:val="24"/>
                        <w:sz w:val="20"/>
                        <w:szCs w:val="20"/>
                        <w:lang w:eastAsia="zh-TW"/>
                      </w:rPr>
                      <w:t>3.3%</w:t>
                    </w:r>
                  </w:p>
                </w:tc>
              </w:tr>
              <w:tr w:rsidR="00501D3F" w:rsidRPr="004F3001" w14:paraId="014F4451" w14:textId="77777777" w:rsidTr="00EF7358">
                <w:trPr>
                  <w:trHeight w:val="284"/>
                </w:trPr>
                <w:tc>
                  <w:tcPr>
                    <w:tcW w:w="2020" w:type="dxa"/>
                    <w:tcBorders>
                      <w:top w:val="nil"/>
                      <w:left w:val="nil"/>
                      <w:bottom w:val="nil"/>
                      <w:right w:val="single" w:sz="8" w:space="0" w:color="A6A6A6"/>
                    </w:tcBorders>
                    <w:tcMar>
                      <w:top w:w="72" w:type="dxa"/>
                      <w:left w:w="144" w:type="dxa"/>
                      <w:bottom w:w="72" w:type="dxa"/>
                      <w:right w:w="144" w:type="dxa"/>
                    </w:tcMar>
                    <w:hideMark/>
                  </w:tcPr>
                  <w:p w14:paraId="380522C2" w14:textId="77777777" w:rsidR="00501D3F" w:rsidRPr="004F3001" w:rsidRDefault="00501D3F" w:rsidP="000230E1">
                    <w:pPr>
                      <w:spacing w:after="0" w:line="240" w:lineRule="auto"/>
                      <w:rPr>
                        <w:rFonts w:ascii="Arial" w:eastAsia="Times New Roman" w:hAnsi="Arial" w:cs="Arial"/>
                        <w:sz w:val="20"/>
                        <w:szCs w:val="20"/>
                        <w:lang w:eastAsia="zh-TW"/>
                      </w:rPr>
                    </w:pPr>
                    <w:r w:rsidRPr="004F3001">
                      <w:rPr>
                        <w:rFonts w:ascii="Arial" w:eastAsia="Times New Roman" w:hAnsi="Arial" w:cs="Arial"/>
                        <w:color w:val="3F4548"/>
                        <w:kern w:val="24"/>
                        <w:sz w:val="20"/>
                        <w:szCs w:val="20"/>
                        <w:lang w:eastAsia="zh-TW"/>
                      </w:rPr>
                      <w:t>Bond</w:t>
                    </w:r>
                  </w:p>
                </w:tc>
                <w:tc>
                  <w:tcPr>
                    <w:tcW w:w="920" w:type="dxa"/>
                    <w:tcBorders>
                      <w:top w:val="nil"/>
                      <w:left w:val="single" w:sz="8" w:space="0" w:color="A6A6A6"/>
                      <w:bottom w:val="nil"/>
                      <w:right w:val="single" w:sz="8" w:space="0" w:color="A6A6A6"/>
                    </w:tcBorders>
                    <w:tcMar>
                      <w:top w:w="72" w:type="dxa"/>
                      <w:left w:w="144" w:type="dxa"/>
                      <w:bottom w:w="72" w:type="dxa"/>
                      <w:right w:w="144" w:type="dxa"/>
                    </w:tcMar>
                    <w:hideMark/>
                  </w:tcPr>
                  <w:p w14:paraId="38134485" w14:textId="77777777" w:rsidR="00501D3F" w:rsidRPr="004F3001" w:rsidRDefault="00501D3F" w:rsidP="000230E1">
                    <w:pPr>
                      <w:spacing w:after="0" w:line="240" w:lineRule="auto"/>
                      <w:jc w:val="center"/>
                      <w:rPr>
                        <w:rFonts w:ascii="Arial" w:eastAsia="Times New Roman" w:hAnsi="Arial" w:cs="Arial"/>
                        <w:sz w:val="20"/>
                        <w:szCs w:val="20"/>
                        <w:lang w:eastAsia="zh-TW"/>
                      </w:rPr>
                    </w:pPr>
                    <w:r w:rsidRPr="004F3001">
                      <w:rPr>
                        <w:rFonts w:ascii="Arial" w:eastAsia="Times New Roman" w:hAnsi="Arial" w:cs="Arial"/>
                        <w:color w:val="3F4548"/>
                        <w:kern w:val="24"/>
                        <w:sz w:val="20"/>
                        <w:szCs w:val="20"/>
                        <w:lang w:eastAsia="zh-TW"/>
                      </w:rPr>
                      <w:t>SP</w:t>
                    </w:r>
                  </w:p>
                </w:tc>
                <w:tc>
                  <w:tcPr>
                    <w:tcW w:w="1240" w:type="dxa"/>
                    <w:tcBorders>
                      <w:top w:val="nil"/>
                      <w:left w:val="single" w:sz="8" w:space="0" w:color="A6A6A6"/>
                      <w:bottom w:val="nil"/>
                      <w:right w:val="single" w:sz="8" w:space="0" w:color="A6A6A6"/>
                    </w:tcBorders>
                    <w:tcMar>
                      <w:top w:w="72" w:type="dxa"/>
                      <w:left w:w="144" w:type="dxa"/>
                      <w:bottom w:w="72" w:type="dxa"/>
                      <w:right w:w="144" w:type="dxa"/>
                    </w:tcMar>
                    <w:hideMark/>
                  </w:tcPr>
                  <w:p w14:paraId="56386633" w14:textId="77777777" w:rsidR="00501D3F" w:rsidRPr="004F3001" w:rsidRDefault="00501D3F" w:rsidP="000230E1">
                    <w:pPr>
                      <w:spacing w:after="0" w:line="240" w:lineRule="auto"/>
                      <w:jc w:val="center"/>
                      <w:rPr>
                        <w:rFonts w:ascii="Arial" w:eastAsia="Times New Roman" w:hAnsi="Arial" w:cs="Arial"/>
                        <w:sz w:val="20"/>
                        <w:szCs w:val="20"/>
                        <w:lang w:eastAsia="zh-TW"/>
                      </w:rPr>
                    </w:pPr>
                    <w:r w:rsidRPr="004F3001">
                      <w:rPr>
                        <w:rFonts w:ascii="Arial" w:eastAsia="Times New Roman" w:hAnsi="Arial" w:cs="Arial"/>
                        <w:color w:val="3F4548"/>
                        <w:kern w:val="24"/>
                        <w:sz w:val="20"/>
                        <w:szCs w:val="20"/>
                        <w:lang w:eastAsia="zh-TW"/>
                      </w:rPr>
                      <w:t>15</w:t>
                    </w:r>
                  </w:p>
                </w:tc>
                <w:tc>
                  <w:tcPr>
                    <w:tcW w:w="1700" w:type="dxa"/>
                    <w:tcBorders>
                      <w:top w:val="nil"/>
                      <w:left w:val="single" w:sz="8" w:space="0" w:color="A6A6A6"/>
                      <w:bottom w:val="nil"/>
                      <w:right w:val="single" w:sz="8" w:space="0" w:color="A6A6A6"/>
                    </w:tcBorders>
                    <w:tcMar>
                      <w:top w:w="72" w:type="dxa"/>
                      <w:left w:w="144" w:type="dxa"/>
                      <w:bottom w:w="72" w:type="dxa"/>
                      <w:right w:w="144" w:type="dxa"/>
                    </w:tcMar>
                    <w:hideMark/>
                  </w:tcPr>
                  <w:p w14:paraId="4CB5A218" w14:textId="77777777" w:rsidR="00501D3F" w:rsidRPr="004F3001" w:rsidRDefault="00501D3F" w:rsidP="000230E1">
                    <w:pPr>
                      <w:spacing w:after="0" w:line="240" w:lineRule="auto"/>
                      <w:jc w:val="center"/>
                      <w:rPr>
                        <w:rFonts w:ascii="Arial" w:eastAsia="Times New Roman" w:hAnsi="Arial" w:cs="Arial"/>
                        <w:sz w:val="20"/>
                        <w:szCs w:val="20"/>
                        <w:lang w:eastAsia="zh-TW"/>
                      </w:rPr>
                    </w:pPr>
                    <w:r w:rsidRPr="004F3001">
                      <w:rPr>
                        <w:rFonts w:ascii="Arial" w:eastAsia="Times New Roman" w:hAnsi="Arial" w:cs="Arial"/>
                        <w:color w:val="3F4548"/>
                        <w:kern w:val="24"/>
                        <w:sz w:val="20"/>
                        <w:szCs w:val="20"/>
                        <w:lang w:eastAsia="zh-TW"/>
                      </w:rPr>
                      <w:t>4.5%</w:t>
                    </w:r>
                  </w:p>
                </w:tc>
                <w:tc>
                  <w:tcPr>
                    <w:tcW w:w="1700" w:type="dxa"/>
                    <w:tcBorders>
                      <w:top w:val="nil"/>
                      <w:left w:val="single" w:sz="8" w:space="0" w:color="A6A6A6"/>
                      <w:bottom w:val="nil"/>
                      <w:right w:val="single" w:sz="8" w:space="0" w:color="A6A6A6"/>
                    </w:tcBorders>
                  </w:tcPr>
                  <w:p w14:paraId="6F185E50" w14:textId="77777777" w:rsidR="00501D3F" w:rsidRPr="004F3001" w:rsidRDefault="00501D3F" w:rsidP="000230E1">
                    <w:pPr>
                      <w:spacing w:after="0" w:line="240" w:lineRule="auto"/>
                      <w:rPr>
                        <w:rFonts w:ascii="Arial" w:eastAsia="Times New Roman" w:hAnsi="Arial" w:cs="Arial"/>
                        <w:sz w:val="20"/>
                        <w:szCs w:val="20"/>
                        <w:lang w:eastAsia="zh-TW"/>
                      </w:rPr>
                    </w:pPr>
                  </w:p>
                </w:tc>
                <w:tc>
                  <w:tcPr>
                    <w:tcW w:w="1700" w:type="dxa"/>
                    <w:tcBorders>
                      <w:top w:val="nil"/>
                      <w:left w:val="single" w:sz="8" w:space="0" w:color="A6A6A6"/>
                      <w:bottom w:val="nil"/>
                      <w:right w:val="single" w:sz="8" w:space="0" w:color="A6A6A6"/>
                    </w:tcBorders>
                    <w:tcMar>
                      <w:top w:w="72" w:type="dxa"/>
                      <w:left w:w="144" w:type="dxa"/>
                      <w:bottom w:w="72" w:type="dxa"/>
                      <w:right w:w="144" w:type="dxa"/>
                    </w:tcMar>
                    <w:hideMark/>
                  </w:tcPr>
                  <w:p w14:paraId="14E71CF9" w14:textId="77777777" w:rsidR="00501D3F" w:rsidRPr="004F3001" w:rsidRDefault="00501D3F" w:rsidP="000230E1">
                    <w:pPr>
                      <w:spacing w:after="0" w:line="240" w:lineRule="auto"/>
                      <w:jc w:val="center"/>
                      <w:rPr>
                        <w:rFonts w:ascii="Arial" w:eastAsia="Times New Roman" w:hAnsi="Arial" w:cs="Arial"/>
                        <w:sz w:val="20"/>
                        <w:szCs w:val="20"/>
                        <w:lang w:eastAsia="zh-TW"/>
                      </w:rPr>
                    </w:pPr>
                    <w:r w:rsidRPr="004F3001">
                      <w:rPr>
                        <w:rFonts w:ascii="Arial" w:eastAsia="Times New Roman" w:hAnsi="Arial" w:cs="Arial"/>
                        <w:color w:val="3F4548"/>
                        <w:kern w:val="24"/>
                        <w:sz w:val="20"/>
                        <w:szCs w:val="20"/>
                        <w:lang w:eastAsia="zh-TW"/>
                      </w:rPr>
                      <w:t>2.8%</w:t>
                    </w:r>
                  </w:p>
                </w:tc>
              </w:tr>
            </w:tbl>
            <w:p w14:paraId="58FC9251" w14:textId="77777777" w:rsidR="00CD5CCF" w:rsidRDefault="00501D3F" w:rsidP="000230E1">
              <w:pPr>
                <w:spacing w:after="240"/>
                <w:jc w:val="both"/>
                <w:rPr>
                  <w:rFonts w:ascii="Arial" w:hAnsi="Arial" w:cs="Arial"/>
                  <w:sz w:val="20"/>
                  <w:szCs w:val="20"/>
                </w:rPr>
              </w:pPr>
              <w:r w:rsidRPr="004F3001">
                <w:rPr>
                  <w:rFonts w:ascii="Arial" w:hAnsi="Arial" w:cs="Arial"/>
                  <w:sz w:val="20"/>
                  <w:szCs w:val="20"/>
                </w:rPr>
                <w:t xml:space="preserve">  </w:t>
              </w:r>
            </w:p>
            <w:p w14:paraId="6C8624C9" w14:textId="77777777" w:rsidR="00501D3F" w:rsidRPr="004F3001" w:rsidRDefault="00501D3F" w:rsidP="000230E1">
              <w:pPr>
                <w:spacing w:after="240"/>
                <w:jc w:val="both"/>
                <w:rPr>
                  <w:rFonts w:ascii="Arial" w:hAnsi="Arial" w:cs="Arial"/>
                  <w:sz w:val="20"/>
                  <w:szCs w:val="20"/>
                </w:rPr>
              </w:pPr>
              <w:r>
                <w:rPr>
                  <w:rFonts w:ascii="Arial" w:hAnsi="Arial" w:cs="Arial"/>
                  <w:sz w:val="20"/>
                  <w:szCs w:val="20"/>
                </w:rPr>
                <w:t>Table 1: Benchmarking with-profits returns (Source</w:t>
              </w:r>
              <w:r w:rsidRPr="004F3001">
                <w:rPr>
                  <w:rFonts w:ascii="Arial" w:hAnsi="Arial" w:cs="Arial"/>
                  <w:sz w:val="20"/>
                  <w:szCs w:val="20"/>
                </w:rPr>
                <w:t>:</w:t>
              </w:r>
              <w:r>
                <w:rPr>
                  <w:rFonts w:ascii="Arial" w:hAnsi="Arial" w:cs="Arial"/>
                  <w:sz w:val="20"/>
                  <w:szCs w:val="20"/>
                </w:rPr>
                <w:t xml:space="preserve"> </w:t>
              </w:r>
              <w:r w:rsidRPr="004F3001">
                <w:rPr>
                  <w:rFonts w:ascii="Arial" w:hAnsi="Arial" w:cs="Arial"/>
                  <w:sz w:val="20"/>
                  <w:szCs w:val="20"/>
                </w:rPr>
                <w:t>WP Return - Willis Towers Watson “</w:t>
              </w:r>
              <w:r w:rsidRPr="004F3001">
                <w:rPr>
                  <w:rFonts w:ascii="Arial" w:hAnsi="Arial" w:cs="Arial"/>
                  <w:i/>
                  <w:sz w:val="20"/>
                  <w:szCs w:val="20"/>
                </w:rPr>
                <w:t>With-Profits Expense and Pay-out Benchmarking Survey</w:t>
              </w:r>
              <w:r w:rsidRPr="004F3001">
                <w:rPr>
                  <w:rFonts w:ascii="Arial" w:hAnsi="Arial" w:cs="Arial"/>
                  <w:sz w:val="20"/>
                  <w:szCs w:val="20"/>
                </w:rPr>
                <w:t>”, 14 November – WP Return represents mid-range of all returns quoted, excluding top and bottom 10</w:t>
              </w:r>
              <w:r w:rsidRPr="004F3001">
                <w:rPr>
                  <w:rFonts w:ascii="Arial" w:hAnsi="Arial" w:cs="Arial"/>
                  <w:sz w:val="20"/>
                  <w:szCs w:val="20"/>
                  <w:vertAlign w:val="superscript"/>
                </w:rPr>
                <w:t>th</w:t>
              </w:r>
              <w:r w:rsidRPr="004F3001">
                <w:rPr>
                  <w:rFonts w:ascii="Arial" w:hAnsi="Arial" w:cs="Arial"/>
                  <w:sz w:val="20"/>
                  <w:szCs w:val="20"/>
                </w:rPr>
                <w:t xml:space="preserve"> percentiles. </w:t>
              </w:r>
              <w:proofErr w:type="spellStart"/>
              <w:r w:rsidRPr="004F3001">
                <w:rPr>
                  <w:rFonts w:ascii="Arial" w:hAnsi="Arial" w:cs="Arial"/>
                  <w:sz w:val="20"/>
                  <w:szCs w:val="20"/>
                </w:rPr>
                <w:t>Avg</w:t>
              </w:r>
              <w:proofErr w:type="spellEnd"/>
              <w:r w:rsidRPr="004F3001">
                <w:rPr>
                  <w:rFonts w:ascii="Arial" w:hAnsi="Arial" w:cs="Arial"/>
                  <w:sz w:val="20"/>
                  <w:szCs w:val="20"/>
                </w:rPr>
                <w:t xml:space="preserve"> UL Pens – Money Management “</w:t>
              </w:r>
              <w:r w:rsidRPr="004F3001">
                <w:rPr>
                  <w:rFonts w:ascii="Arial" w:hAnsi="Arial" w:cs="Arial"/>
                  <w:i/>
                  <w:sz w:val="20"/>
                  <w:szCs w:val="20"/>
                </w:rPr>
                <w:t>Personal Pensions Survey”</w:t>
              </w:r>
              <w:r w:rsidRPr="004F3001">
                <w:rPr>
                  <w:rFonts w:ascii="Arial" w:hAnsi="Arial" w:cs="Arial"/>
                  <w:sz w:val="20"/>
                  <w:szCs w:val="20"/>
                </w:rPr>
                <w:t>, March 2016 – Return represents mid-range return on mixed investment funds with 40%-85% invested in shares</w:t>
              </w:r>
              <w:r>
                <w:rPr>
                  <w:rFonts w:ascii="Arial" w:hAnsi="Arial" w:cs="Arial"/>
                  <w:sz w:val="20"/>
                  <w:szCs w:val="20"/>
                </w:rPr>
                <w:t>)</w:t>
              </w:r>
            </w:p>
            <w:p w14:paraId="713E25E2" w14:textId="77777777" w:rsidR="00501D3F" w:rsidRPr="004F3001" w:rsidRDefault="00501D3F" w:rsidP="000230E1">
              <w:pPr>
                <w:spacing w:after="240"/>
                <w:jc w:val="both"/>
                <w:rPr>
                  <w:rFonts w:ascii="Arial" w:hAnsi="Arial" w:cs="Arial"/>
                  <w:sz w:val="20"/>
                  <w:szCs w:val="20"/>
                </w:rPr>
              </w:pPr>
              <w:r w:rsidRPr="004F3001">
                <w:rPr>
                  <w:rFonts w:ascii="Arial" w:hAnsi="Arial" w:cs="Arial"/>
                  <w:sz w:val="20"/>
                  <w:szCs w:val="20"/>
                </w:rPr>
                <w:t>The higher returns over longer terms (most notably 30</w:t>
              </w:r>
              <w:r>
                <w:rPr>
                  <w:rFonts w:ascii="Arial" w:hAnsi="Arial" w:cs="Arial"/>
                  <w:sz w:val="20"/>
                  <w:szCs w:val="20"/>
                </w:rPr>
                <w:t>-</w:t>
              </w:r>
              <w:r w:rsidRPr="004F3001">
                <w:rPr>
                  <w:rFonts w:ascii="Arial" w:hAnsi="Arial" w:cs="Arial"/>
                  <w:sz w:val="20"/>
                  <w:szCs w:val="20"/>
                </w:rPr>
                <w:t>year pensions) reflect both higher historic returns and higher distributions from fund estates.</w:t>
              </w:r>
            </w:p>
            <w:p w14:paraId="78403A78" w14:textId="77777777" w:rsidR="00501D3F" w:rsidRPr="004F3001" w:rsidRDefault="00501D3F" w:rsidP="000230E1">
              <w:pPr>
                <w:spacing w:after="240"/>
                <w:jc w:val="both"/>
                <w:rPr>
                  <w:rFonts w:ascii="Arial" w:hAnsi="Arial" w:cs="Arial"/>
                  <w:sz w:val="20"/>
                  <w:szCs w:val="20"/>
                </w:rPr>
              </w:pPr>
              <w:r w:rsidRPr="004F3001">
                <w:rPr>
                  <w:rFonts w:ascii="Arial" w:hAnsi="Arial" w:cs="Arial"/>
                  <w:sz w:val="20"/>
                  <w:szCs w:val="20"/>
                </w:rPr>
                <w:t>While this comparison suggests with-profits products are providing strong returns relative to comparable alternatives, does this actually mean they are performing well enough? Customers are unlikely to do a product-to-product comparison and are instead more likely to compare their payouts with their own expectations. These expectations are likely to have been influenced by:</w:t>
              </w:r>
            </w:p>
            <w:p w14:paraId="53101909" w14:textId="77777777" w:rsidR="00501D3F" w:rsidRPr="004F3001" w:rsidRDefault="00501D3F">
              <w:pPr>
                <w:pStyle w:val="ListParagraph"/>
                <w:numPr>
                  <w:ilvl w:val="0"/>
                  <w:numId w:val="14"/>
                </w:numPr>
                <w:spacing w:after="240"/>
                <w:jc w:val="both"/>
                <w:rPr>
                  <w:rFonts w:cs="Arial"/>
                  <w:szCs w:val="20"/>
                </w:rPr>
              </w:pPr>
              <w:r w:rsidRPr="004F3001">
                <w:rPr>
                  <w:rFonts w:cs="Arial"/>
                  <w:szCs w:val="20"/>
                </w:rPr>
                <w:t>Marketing literature received at inception – illustrated values, possible returns, promises made</w:t>
              </w:r>
            </w:p>
            <w:p w14:paraId="2B9D4975" w14:textId="77777777" w:rsidR="00501D3F" w:rsidRPr="004F3001" w:rsidRDefault="00501D3F">
              <w:pPr>
                <w:pStyle w:val="ListParagraph"/>
                <w:numPr>
                  <w:ilvl w:val="0"/>
                  <w:numId w:val="14"/>
                </w:numPr>
                <w:spacing w:after="240"/>
                <w:jc w:val="both"/>
                <w:rPr>
                  <w:rFonts w:cs="Arial"/>
                  <w:szCs w:val="20"/>
                </w:rPr>
              </w:pPr>
              <w:r w:rsidRPr="004F3001">
                <w:rPr>
                  <w:rFonts w:cs="Arial"/>
                  <w:szCs w:val="20"/>
                </w:rPr>
                <w:t>Marketing literature received throughout the lifetime of the policy – have expectations been re-set, are customers made aware of the performance of the fund and their policy? Are industry-wide issues and changes properly explained to customers to warn them of the possible impacts?</w:t>
              </w:r>
            </w:p>
            <w:p w14:paraId="4C17E984" w14:textId="77777777" w:rsidR="00501D3F" w:rsidRPr="004F3001" w:rsidRDefault="00501D3F">
              <w:pPr>
                <w:pStyle w:val="ListParagraph"/>
                <w:numPr>
                  <w:ilvl w:val="0"/>
                  <w:numId w:val="14"/>
                </w:numPr>
                <w:spacing w:after="240"/>
                <w:jc w:val="both"/>
                <w:rPr>
                  <w:rFonts w:cs="Arial"/>
                  <w:szCs w:val="20"/>
                </w:rPr>
              </w:pPr>
              <w:r w:rsidRPr="004F3001">
                <w:rPr>
                  <w:rFonts w:cs="Arial"/>
                  <w:szCs w:val="20"/>
                </w:rPr>
                <w:t xml:space="preserve">The purpose of the investment – if a with-profits endowment is taken in order to pay off an interest-only mortgage then the payout itself is of less interest than </w:t>
              </w:r>
              <w:r>
                <w:rPr>
                  <w:rFonts w:cs="Arial"/>
                  <w:szCs w:val="20"/>
                </w:rPr>
                <w:t>any</w:t>
              </w:r>
              <w:r w:rsidRPr="004F3001">
                <w:rPr>
                  <w:rFonts w:cs="Arial"/>
                  <w:szCs w:val="20"/>
                </w:rPr>
                <w:t xml:space="preserve"> resulting shortfall in the mortgage payment.</w:t>
              </w:r>
            </w:p>
            <w:p w14:paraId="4C6648E4" w14:textId="77777777" w:rsidR="00501D3F" w:rsidRPr="004F3001" w:rsidRDefault="00501D3F">
              <w:pPr>
                <w:pStyle w:val="ListParagraph"/>
                <w:numPr>
                  <w:ilvl w:val="0"/>
                  <w:numId w:val="14"/>
                </w:numPr>
                <w:spacing w:after="240"/>
                <w:jc w:val="both"/>
                <w:rPr>
                  <w:rFonts w:cs="Arial"/>
                  <w:szCs w:val="20"/>
                </w:rPr>
              </w:pPr>
              <w:r w:rsidRPr="004F3001">
                <w:rPr>
                  <w:rFonts w:cs="Arial"/>
                  <w:szCs w:val="20"/>
                </w:rPr>
                <w:t xml:space="preserve">What they can do with the proceeds – if a with-profits pension leads on to an annuity income </w:t>
              </w:r>
              <w:r>
                <w:rPr>
                  <w:rFonts w:cs="Arial"/>
                  <w:szCs w:val="20"/>
                </w:rPr>
                <w:t>that is lower than they expected</w:t>
              </w:r>
              <w:r w:rsidRPr="004F3001">
                <w:rPr>
                  <w:rFonts w:cs="Arial"/>
                  <w:szCs w:val="20"/>
                </w:rPr>
                <w:t>, do customers see th</w:t>
              </w:r>
              <w:r>
                <w:rPr>
                  <w:rFonts w:cs="Arial"/>
                  <w:szCs w:val="20"/>
                </w:rPr>
                <w:t>ese</w:t>
              </w:r>
              <w:r w:rsidRPr="004F3001">
                <w:rPr>
                  <w:rFonts w:cs="Arial"/>
                  <w:szCs w:val="20"/>
                </w:rPr>
                <w:t xml:space="preserve"> as two distinct factors? It is more likely that customers would focus on the end outcome – their retirement income. It is perfectly plausible that good performance of the pension is being overshadowed by a lower than expected annuity rate.</w:t>
              </w:r>
            </w:p>
            <w:p w14:paraId="0B0727CD" w14:textId="77777777" w:rsidR="00501D3F" w:rsidRPr="004F3001" w:rsidRDefault="00501D3F">
              <w:pPr>
                <w:pStyle w:val="ListParagraph"/>
                <w:numPr>
                  <w:ilvl w:val="0"/>
                  <w:numId w:val="14"/>
                </w:numPr>
                <w:spacing w:after="240"/>
                <w:jc w:val="both"/>
                <w:rPr>
                  <w:rFonts w:cs="Arial"/>
                  <w:szCs w:val="20"/>
                </w:rPr>
              </w:pPr>
              <w:r>
                <w:rPr>
                  <w:rFonts w:cs="Arial"/>
                  <w:szCs w:val="20"/>
                </w:rPr>
                <w:t>Policyholders</w:t>
              </w:r>
              <w:r w:rsidRPr="004F3001">
                <w:rPr>
                  <w:rFonts w:cs="Arial"/>
                  <w:szCs w:val="20"/>
                </w:rPr>
                <w:t xml:space="preserve"> perception of value for money – is investment performance good enough for the charges paid (given these charges are difficult to disclose this could be hard for customers to assess) – if customers perceive with-profits as an expensive product, they have high expectations over what they should get for the cost.</w:t>
              </w:r>
            </w:p>
            <w:p w14:paraId="2C8E9633" w14:textId="77777777" w:rsidR="00501D3F" w:rsidRPr="004F3001" w:rsidRDefault="00501D3F">
              <w:pPr>
                <w:pStyle w:val="ListParagraph"/>
                <w:numPr>
                  <w:ilvl w:val="0"/>
                  <w:numId w:val="14"/>
                </w:numPr>
                <w:spacing w:after="240"/>
                <w:jc w:val="both"/>
                <w:rPr>
                  <w:rFonts w:cs="Arial"/>
                  <w:szCs w:val="20"/>
                </w:rPr>
              </w:pPr>
              <w:r w:rsidRPr="004F3001">
                <w:rPr>
                  <w:rFonts w:cs="Arial"/>
                  <w:szCs w:val="20"/>
                </w:rPr>
                <w:t>Press coverage.</w:t>
              </w:r>
            </w:p>
            <w:p w14:paraId="7524FB3D" w14:textId="77777777" w:rsidR="00501D3F" w:rsidRPr="004F3001" w:rsidRDefault="00501D3F">
              <w:pPr>
                <w:pStyle w:val="ListParagraph"/>
                <w:numPr>
                  <w:ilvl w:val="0"/>
                  <w:numId w:val="14"/>
                </w:numPr>
                <w:spacing w:after="240"/>
                <w:jc w:val="both"/>
                <w:rPr>
                  <w:rFonts w:cs="Arial"/>
                  <w:szCs w:val="20"/>
                </w:rPr>
              </w:pPr>
              <w:r>
                <w:rPr>
                  <w:rFonts w:cs="Arial"/>
                  <w:szCs w:val="20"/>
                </w:rPr>
                <w:t>Policyholders</w:t>
              </w:r>
              <w:r w:rsidRPr="004F3001">
                <w:rPr>
                  <w:rFonts w:cs="Arial"/>
                  <w:szCs w:val="20"/>
                </w:rPr>
                <w:t xml:space="preserve"> own research and analysis.</w:t>
              </w:r>
            </w:p>
            <w:p w14:paraId="26C755C3" w14:textId="77777777" w:rsidR="00501D3F" w:rsidRPr="004F3001" w:rsidRDefault="00501D3F">
              <w:pPr>
                <w:spacing w:after="240"/>
                <w:jc w:val="both"/>
                <w:rPr>
                  <w:rFonts w:ascii="Arial" w:hAnsi="Arial" w:cs="Arial"/>
                  <w:sz w:val="20"/>
                  <w:szCs w:val="20"/>
                </w:rPr>
              </w:pPr>
              <w:r w:rsidRPr="004F3001">
                <w:rPr>
                  <w:rFonts w:ascii="Arial" w:hAnsi="Arial" w:cs="Arial"/>
                  <w:sz w:val="20"/>
                  <w:szCs w:val="20"/>
                </w:rPr>
                <w:t xml:space="preserve">This means that, while there is a need for providers to assess investment performance against peer companies or indices, they should also pay due regard to </w:t>
              </w:r>
              <w:r w:rsidR="00690A05">
                <w:rPr>
                  <w:rFonts w:ascii="Arial" w:hAnsi="Arial" w:cs="Arial"/>
                  <w:sz w:val="20"/>
                  <w:szCs w:val="20"/>
                </w:rPr>
                <w:t>the expectations of their policyholders and ensure these expectations are managed throughout the lifecycle of the product.  This can be particularly challenging for with-profits products which were taken out in the 1980’s when interest rates were a lot higher and when investment returns generally higher than current expectation given the low yield environment.</w:t>
              </w:r>
              <w:r w:rsidRPr="004F3001">
                <w:rPr>
                  <w:rFonts w:ascii="Arial" w:hAnsi="Arial" w:cs="Arial"/>
                  <w:sz w:val="20"/>
                  <w:szCs w:val="20"/>
                </w:rPr>
                <w:t xml:space="preserve">  </w:t>
              </w:r>
            </w:p>
            <w:p w14:paraId="4831E465" w14:textId="69DBCB92" w:rsidR="00501D3F" w:rsidRPr="004F3001" w:rsidRDefault="00501D3F">
              <w:pPr>
                <w:spacing w:after="240"/>
                <w:jc w:val="both"/>
                <w:rPr>
                  <w:rFonts w:ascii="Arial" w:hAnsi="Arial" w:cs="Arial"/>
                  <w:sz w:val="20"/>
                  <w:szCs w:val="20"/>
                </w:rPr>
              </w:pPr>
              <w:r w:rsidRPr="004F3001">
                <w:rPr>
                  <w:rFonts w:ascii="Arial" w:hAnsi="Arial" w:cs="Arial"/>
                  <w:sz w:val="20"/>
                  <w:szCs w:val="20"/>
                </w:rPr>
                <w:t xml:space="preserve">By comparing </w:t>
              </w:r>
              <w:proofErr w:type="spellStart"/>
              <w:r w:rsidRPr="004F3001">
                <w:rPr>
                  <w:rFonts w:ascii="Arial" w:hAnsi="Arial" w:cs="Arial"/>
                  <w:sz w:val="20"/>
                  <w:szCs w:val="20"/>
                </w:rPr>
                <w:t>payouts</w:t>
              </w:r>
              <w:proofErr w:type="spellEnd"/>
              <w:r w:rsidRPr="004F3001">
                <w:rPr>
                  <w:rFonts w:ascii="Arial" w:hAnsi="Arial" w:cs="Arial"/>
                  <w:sz w:val="20"/>
                  <w:szCs w:val="20"/>
                </w:rPr>
                <w:t xml:space="preserve"> against competitors’</w:t>
              </w:r>
              <w:r w:rsidR="00724482">
                <w:rPr>
                  <w:rFonts w:ascii="Arial" w:hAnsi="Arial" w:cs="Arial"/>
                  <w:sz w:val="20"/>
                  <w:szCs w:val="20"/>
                </w:rPr>
                <w:t xml:space="preserve">, firms </w:t>
              </w:r>
              <w:r w:rsidRPr="004F3001">
                <w:rPr>
                  <w:rFonts w:ascii="Arial" w:hAnsi="Arial" w:cs="Arial"/>
                  <w:sz w:val="20"/>
                  <w:szCs w:val="20"/>
                </w:rPr>
                <w:t>can assess how their own methods, approaches and performance compares, and may well highlight underperformance or concerns over fairness.</w:t>
              </w:r>
            </w:p>
            <w:p w14:paraId="3D13C644" w14:textId="77777777" w:rsidR="00501D3F" w:rsidRPr="004F3001" w:rsidRDefault="00501D3F">
              <w:pPr>
                <w:spacing w:after="240"/>
                <w:jc w:val="both"/>
                <w:rPr>
                  <w:rFonts w:ascii="Arial" w:hAnsi="Arial" w:cs="Arial"/>
                  <w:sz w:val="20"/>
                  <w:szCs w:val="20"/>
                </w:rPr>
              </w:pPr>
              <w:r w:rsidRPr="004F3001">
                <w:rPr>
                  <w:rFonts w:ascii="Arial" w:hAnsi="Arial" w:cs="Arial"/>
                  <w:sz w:val="20"/>
                  <w:szCs w:val="20"/>
                </w:rPr>
                <w:t>Providers should regularly reconsider their own methods for fairness, looking at the broad spectrum of factors:</w:t>
              </w:r>
            </w:p>
            <w:p w14:paraId="3AA9F4CC" w14:textId="5CB8C067" w:rsidR="00501D3F" w:rsidRPr="004F3001" w:rsidRDefault="00501D3F">
              <w:pPr>
                <w:pStyle w:val="ListParagraph"/>
                <w:numPr>
                  <w:ilvl w:val="0"/>
                  <w:numId w:val="15"/>
                </w:numPr>
                <w:spacing w:after="240"/>
                <w:jc w:val="both"/>
                <w:rPr>
                  <w:rFonts w:cs="Arial"/>
                  <w:szCs w:val="20"/>
                </w:rPr>
              </w:pPr>
              <w:r w:rsidRPr="004F3001">
                <w:rPr>
                  <w:rFonts w:cs="Arial"/>
                  <w:szCs w:val="20"/>
                </w:rPr>
                <w:t>The level of risk being borne by the fund</w:t>
              </w:r>
              <w:r w:rsidR="003D2763">
                <w:rPr>
                  <w:rFonts w:cs="Arial"/>
                  <w:szCs w:val="20"/>
                </w:rPr>
                <w:t xml:space="preserve"> and the level of any shareholder support</w:t>
              </w:r>
              <w:r w:rsidRPr="004F3001">
                <w:rPr>
                  <w:rFonts w:cs="Arial"/>
                  <w:szCs w:val="20"/>
                </w:rPr>
                <w:t xml:space="preserve"> and how this influences investment approach</w:t>
              </w:r>
            </w:p>
            <w:p w14:paraId="252104A3" w14:textId="77777777" w:rsidR="00501D3F" w:rsidRPr="004F3001" w:rsidRDefault="00501D3F">
              <w:pPr>
                <w:pStyle w:val="ListParagraph"/>
                <w:numPr>
                  <w:ilvl w:val="0"/>
                  <w:numId w:val="15"/>
                </w:numPr>
                <w:spacing w:after="240"/>
                <w:jc w:val="both"/>
                <w:rPr>
                  <w:rFonts w:cs="Arial"/>
                  <w:szCs w:val="20"/>
                </w:rPr>
              </w:pPr>
              <w:r w:rsidRPr="004F3001">
                <w:rPr>
                  <w:rFonts w:cs="Arial"/>
                  <w:szCs w:val="20"/>
                </w:rPr>
                <w:t>Allowing customer access to the value of their products in a fair manner – surrender penalties and MVR’s not presenting an unnecessary barrier to customers moving their money</w:t>
              </w:r>
            </w:p>
            <w:p w14:paraId="7EBBA279" w14:textId="77777777" w:rsidR="00501D3F" w:rsidRPr="004F3001" w:rsidRDefault="00501D3F">
              <w:pPr>
                <w:pStyle w:val="ListParagraph"/>
                <w:numPr>
                  <w:ilvl w:val="0"/>
                  <w:numId w:val="15"/>
                </w:numPr>
                <w:spacing w:after="240"/>
                <w:jc w:val="both"/>
                <w:rPr>
                  <w:rFonts w:cs="Arial"/>
                  <w:szCs w:val="20"/>
                </w:rPr>
              </w:pPr>
              <w:r w:rsidRPr="004F3001">
                <w:rPr>
                  <w:rFonts w:cs="Arial"/>
                  <w:szCs w:val="20"/>
                </w:rPr>
                <w:t>Fairness of distributions of profits and surpluses – ensuring fairness between generations, geographies and product choices</w:t>
              </w:r>
            </w:p>
            <w:p w14:paraId="7F55042C" w14:textId="77777777" w:rsidR="00501D3F" w:rsidRPr="004F3001" w:rsidRDefault="00501D3F">
              <w:pPr>
                <w:pStyle w:val="ListParagraph"/>
                <w:numPr>
                  <w:ilvl w:val="0"/>
                  <w:numId w:val="15"/>
                </w:numPr>
                <w:spacing w:after="240"/>
                <w:jc w:val="both"/>
                <w:rPr>
                  <w:rFonts w:cs="Arial"/>
                  <w:szCs w:val="20"/>
                </w:rPr>
              </w:pPr>
              <w:r w:rsidRPr="004F3001">
                <w:rPr>
                  <w:rFonts w:cs="Arial"/>
                  <w:szCs w:val="20"/>
                </w:rPr>
                <w:t>Company/fund expenses charged to customers – providers should ensure the expenses levied to the fund, and reflected in payouts, are in line with the services they receive and not seen as a way of unfairly paying for company-wide expenses</w:t>
              </w:r>
            </w:p>
            <w:p w14:paraId="7B8E14E0" w14:textId="77777777" w:rsidR="00501D3F" w:rsidRPr="004F3001" w:rsidRDefault="00501D3F">
              <w:pPr>
                <w:pStyle w:val="ListParagraph"/>
                <w:numPr>
                  <w:ilvl w:val="0"/>
                  <w:numId w:val="15"/>
                </w:numPr>
                <w:spacing w:after="240"/>
                <w:jc w:val="both"/>
                <w:rPr>
                  <w:rFonts w:cs="Arial"/>
                  <w:szCs w:val="20"/>
                </w:rPr>
              </w:pPr>
              <w:r w:rsidRPr="004F3001">
                <w:rPr>
                  <w:rFonts w:cs="Arial"/>
                  <w:szCs w:val="20"/>
                </w:rPr>
                <w:t>Closing to new business and how the provider intends to ensure / monitor the fair treatment of those remaining customers</w:t>
              </w:r>
            </w:p>
            <w:p w14:paraId="14C3D02F" w14:textId="77777777" w:rsidR="00C3665A" w:rsidRDefault="00501D3F">
              <w:pPr>
                <w:spacing w:after="240"/>
                <w:jc w:val="both"/>
                <w:rPr>
                  <w:rFonts w:ascii="Arial" w:hAnsi="Arial" w:cs="Arial"/>
                  <w:sz w:val="20"/>
                  <w:szCs w:val="20"/>
                </w:rPr>
              </w:pPr>
              <w:r w:rsidRPr="004F3001">
                <w:rPr>
                  <w:rFonts w:ascii="Arial" w:hAnsi="Arial" w:cs="Arial"/>
                  <w:sz w:val="20"/>
                  <w:szCs w:val="20"/>
                </w:rPr>
                <w:t>A large part of customer satisfaction and confidence can be shaped and improved by regular, clear and concise communication</w:t>
              </w:r>
              <w:r w:rsidR="00C3665A">
                <w:rPr>
                  <w:rFonts w:ascii="Arial" w:hAnsi="Arial" w:cs="Arial"/>
                  <w:sz w:val="20"/>
                  <w:szCs w:val="20"/>
                </w:rPr>
                <w:t xml:space="preserve">.  This should cover: </w:t>
              </w:r>
            </w:p>
            <w:p w14:paraId="371669D3" w14:textId="77777777" w:rsidR="00C3665A" w:rsidRDefault="00501D3F" w:rsidP="000230E1">
              <w:pPr>
                <w:pStyle w:val="ListParagraph"/>
                <w:numPr>
                  <w:ilvl w:val="0"/>
                  <w:numId w:val="19"/>
                </w:numPr>
                <w:spacing w:after="240"/>
                <w:jc w:val="both"/>
                <w:rPr>
                  <w:rFonts w:cs="Arial"/>
                  <w:szCs w:val="20"/>
                </w:rPr>
              </w:pPr>
              <w:r w:rsidRPr="00C3665A">
                <w:rPr>
                  <w:rFonts w:cs="Arial"/>
                  <w:szCs w:val="20"/>
                </w:rPr>
                <w:t xml:space="preserve">letting them know how their investment is doing, </w:t>
              </w:r>
              <w:r w:rsidR="00C3665A">
                <w:rPr>
                  <w:rFonts w:cs="Arial"/>
                  <w:szCs w:val="20"/>
                </w:rPr>
                <w:t xml:space="preserve">including against their original expectations, </w:t>
              </w:r>
            </w:p>
            <w:p w14:paraId="71E699D1" w14:textId="7C625DD1" w:rsidR="00C3665A" w:rsidRDefault="00501D3F" w:rsidP="000230E1">
              <w:pPr>
                <w:pStyle w:val="ListParagraph"/>
                <w:numPr>
                  <w:ilvl w:val="0"/>
                  <w:numId w:val="19"/>
                </w:numPr>
                <w:spacing w:after="240"/>
                <w:jc w:val="both"/>
                <w:rPr>
                  <w:rFonts w:cs="Arial"/>
                  <w:szCs w:val="20"/>
                </w:rPr>
              </w:pPr>
              <w:r w:rsidRPr="00C3665A">
                <w:rPr>
                  <w:rFonts w:cs="Arial"/>
                  <w:szCs w:val="20"/>
                </w:rPr>
                <w:t xml:space="preserve">what value they are getting and for what cost, </w:t>
              </w:r>
            </w:p>
            <w:p w14:paraId="36A7E2C8" w14:textId="77777777" w:rsidR="00455C5C" w:rsidRDefault="00455C5C" w:rsidP="000230E1">
              <w:pPr>
                <w:pStyle w:val="ListParagraph"/>
                <w:numPr>
                  <w:ilvl w:val="0"/>
                  <w:numId w:val="19"/>
                </w:numPr>
                <w:spacing w:after="240"/>
                <w:jc w:val="both"/>
                <w:rPr>
                  <w:rFonts w:cs="Arial"/>
                  <w:szCs w:val="20"/>
                </w:rPr>
              </w:pPr>
              <w:r>
                <w:rPr>
                  <w:rFonts w:cs="Arial"/>
                  <w:szCs w:val="20"/>
                </w:rPr>
                <w:t>whether the risk return characteristics of the fund have changed</w:t>
              </w:r>
              <w:r w:rsidR="001E1FDD">
                <w:rPr>
                  <w:rFonts w:cs="Arial"/>
                  <w:szCs w:val="20"/>
                </w:rPr>
                <w:t>, and</w:t>
              </w:r>
            </w:p>
            <w:p w14:paraId="61B3F63C" w14:textId="64B625EA" w:rsidR="00501D3F" w:rsidRPr="00C3665A" w:rsidRDefault="00501D3F" w:rsidP="000230E1">
              <w:pPr>
                <w:pStyle w:val="ListParagraph"/>
                <w:numPr>
                  <w:ilvl w:val="0"/>
                  <w:numId w:val="19"/>
                </w:numPr>
                <w:spacing w:after="240"/>
                <w:jc w:val="both"/>
                <w:rPr>
                  <w:rFonts w:cs="Arial"/>
                  <w:szCs w:val="20"/>
                </w:rPr>
              </w:pPr>
              <w:r w:rsidRPr="00C3665A">
                <w:rPr>
                  <w:rFonts w:cs="Arial"/>
                  <w:szCs w:val="20"/>
                </w:rPr>
                <w:t>what alternative options there are now and in future.</w:t>
              </w:r>
            </w:p>
          </w:sdtContent>
        </w:sdt>
        <w:p w14:paraId="4FFA44FF" w14:textId="77777777" w:rsidR="00B111FD" w:rsidRPr="00B111FD" w:rsidRDefault="004A1E62" w:rsidP="00501D3F">
          <w:pPr>
            <w:rPr>
              <w:rFonts w:ascii="Arial" w:hAnsi="Arial" w:cs="Arial"/>
              <w:sz w:val="20"/>
              <w:szCs w:val="20"/>
            </w:rPr>
          </w:pPr>
        </w:p>
      </w:sdtContent>
    </w:sdt>
    <w:p w14:paraId="4F35C560" w14:textId="77777777" w:rsidR="00B111FD" w:rsidRDefault="00B111FD">
      <w:pPr>
        <w:rPr>
          <w:rFonts w:ascii="Arial" w:hAnsi="Arial" w:cs="Arial"/>
          <w:b/>
          <w:sz w:val="20"/>
          <w:szCs w:val="20"/>
        </w:rPr>
      </w:pPr>
      <w:r>
        <w:rPr>
          <w:rFonts w:ascii="Arial" w:hAnsi="Arial" w:cs="Arial"/>
          <w:b/>
          <w:sz w:val="20"/>
          <w:szCs w:val="20"/>
        </w:rPr>
        <w:br w:type="page"/>
      </w:r>
    </w:p>
    <w:p w14:paraId="5CE1CC70" w14:textId="77777777" w:rsidR="00895D14" w:rsidRPr="00893B5C" w:rsidRDefault="005558E4" w:rsidP="00B111FD">
      <w:pPr>
        <w:spacing w:after="240"/>
        <w:jc w:val="both"/>
        <w:rPr>
          <w:rFonts w:ascii="Arial" w:hAnsi="Arial" w:cs="Arial"/>
          <w:b/>
          <w:sz w:val="20"/>
          <w:szCs w:val="20"/>
        </w:rPr>
      </w:pPr>
      <w:r>
        <w:rPr>
          <w:rFonts w:ascii="Arial" w:hAnsi="Arial" w:cs="Arial"/>
          <w:b/>
          <w:sz w:val="20"/>
          <w:szCs w:val="20"/>
        </w:rPr>
        <w:t>3</w:t>
      </w:r>
      <w:r w:rsidR="00D76473">
        <w:rPr>
          <w:rFonts w:ascii="Arial" w:hAnsi="Arial" w:cs="Arial"/>
          <w:b/>
          <w:sz w:val="20"/>
          <w:szCs w:val="20"/>
        </w:rPr>
        <w:t>.</w:t>
      </w:r>
      <w:r>
        <w:rPr>
          <w:rFonts w:ascii="Arial" w:hAnsi="Arial" w:cs="Arial"/>
          <w:b/>
          <w:sz w:val="20"/>
          <w:szCs w:val="20"/>
        </w:rPr>
        <w:tab/>
      </w:r>
      <w:r w:rsidR="00D34FC4">
        <w:rPr>
          <w:rFonts w:ascii="Arial" w:hAnsi="Arial" w:cs="Arial"/>
          <w:b/>
          <w:sz w:val="20"/>
          <w:szCs w:val="20"/>
        </w:rPr>
        <w:t>With-profits research from consumer perspective</w:t>
      </w:r>
    </w:p>
    <w:p w14:paraId="5D6CD959" w14:textId="77777777" w:rsidR="00574A27" w:rsidRPr="000230E1" w:rsidRDefault="00024DE0" w:rsidP="000230E1">
      <w:pPr>
        <w:pStyle w:val="Footer"/>
        <w:jc w:val="both"/>
        <w:rPr>
          <w:rFonts w:ascii="Arial" w:hAnsi="Arial" w:cs="Arial"/>
          <w:sz w:val="20"/>
          <w:szCs w:val="20"/>
          <w:lang w:eastAsia="en-US"/>
        </w:rPr>
      </w:pPr>
      <w:r w:rsidRPr="00893B5C">
        <w:rPr>
          <w:rFonts w:ascii="Arial" w:hAnsi="Arial" w:cs="Arial"/>
          <w:b/>
          <w:sz w:val="20"/>
          <w:szCs w:val="20"/>
        </w:rPr>
        <w:fldChar w:fldCharType="begin"/>
      </w:r>
      <w:r w:rsidR="00895D14" w:rsidRPr="00893B5C">
        <w:rPr>
          <w:rFonts w:ascii="Arial" w:hAnsi="Arial" w:cs="Arial"/>
          <w:b/>
          <w:sz w:val="20"/>
          <w:szCs w:val="20"/>
        </w:rPr>
        <w:instrText xml:space="preserve"> AUTOTEXT  " Blank"  \* MERGEFORMAT </w:instrText>
      </w:r>
      <w:r w:rsidRPr="00893B5C">
        <w:rPr>
          <w:rFonts w:ascii="Arial" w:hAnsi="Arial" w:cs="Arial"/>
          <w:b/>
          <w:sz w:val="20"/>
          <w:szCs w:val="20"/>
        </w:rPr>
        <w:fldChar w:fldCharType="separate"/>
      </w:r>
      <w:r w:rsidR="00574A27" w:rsidRPr="000230E1">
        <w:rPr>
          <w:rFonts w:ascii="Arial" w:hAnsi="Arial" w:cs="Arial"/>
          <w:sz w:val="20"/>
          <w:szCs w:val="20"/>
          <w:lang w:eastAsia="en-US"/>
        </w:rPr>
        <w:t>The working party considered existing consumer research in order to benefit from existing insight into the with-profits consumer and provide steer for the consumer survey</w:t>
      </w:r>
      <w:r w:rsidR="00501D3F" w:rsidRPr="000230E1">
        <w:rPr>
          <w:rFonts w:ascii="Arial" w:hAnsi="Arial" w:cs="Arial"/>
          <w:sz w:val="20"/>
          <w:szCs w:val="20"/>
          <w:lang w:eastAsia="en-US"/>
        </w:rPr>
        <w:t>,</w:t>
      </w:r>
      <w:r w:rsidR="00574A27" w:rsidRPr="000230E1">
        <w:rPr>
          <w:rFonts w:ascii="Arial" w:hAnsi="Arial" w:cs="Arial"/>
          <w:sz w:val="20"/>
          <w:szCs w:val="20"/>
          <w:lang w:eastAsia="en-US"/>
        </w:rPr>
        <w:t xml:space="preserve"> which would be commissioned under the second phase of our research. </w:t>
      </w:r>
    </w:p>
    <w:p w14:paraId="33DB246B" w14:textId="77777777" w:rsidR="00574A27" w:rsidRPr="000230E1" w:rsidRDefault="00574A27" w:rsidP="000230E1">
      <w:pPr>
        <w:pStyle w:val="Footer"/>
        <w:jc w:val="both"/>
        <w:rPr>
          <w:rFonts w:ascii="Arial" w:hAnsi="Arial" w:cs="Arial"/>
          <w:sz w:val="20"/>
          <w:szCs w:val="20"/>
          <w:lang w:eastAsia="en-US"/>
        </w:rPr>
      </w:pPr>
    </w:p>
    <w:p w14:paraId="7910E4B9" w14:textId="77777777" w:rsidR="00C27579" w:rsidRPr="000230E1" w:rsidRDefault="00574A27" w:rsidP="000230E1">
      <w:pPr>
        <w:pStyle w:val="Footer"/>
        <w:jc w:val="both"/>
        <w:rPr>
          <w:rFonts w:ascii="Arial" w:hAnsi="Arial" w:cs="Arial"/>
          <w:sz w:val="20"/>
          <w:szCs w:val="20"/>
          <w:lang w:eastAsia="en-US"/>
        </w:rPr>
      </w:pPr>
      <w:r w:rsidRPr="000230E1">
        <w:rPr>
          <w:rFonts w:ascii="Arial" w:hAnsi="Arial" w:cs="Arial"/>
          <w:sz w:val="20"/>
          <w:szCs w:val="20"/>
          <w:lang w:eastAsia="en-US"/>
        </w:rPr>
        <w:t>T</w:t>
      </w:r>
      <w:r w:rsidR="00762063" w:rsidRPr="000230E1">
        <w:rPr>
          <w:rFonts w:ascii="Arial" w:hAnsi="Arial" w:cs="Arial"/>
          <w:sz w:val="20"/>
          <w:szCs w:val="20"/>
          <w:lang w:eastAsia="en-US"/>
        </w:rPr>
        <w:t xml:space="preserve">his section considers existing consumer research from the profession, providers and industry bodies going back nearly a decade. The Institute and Faculty of Actuaries Library service </w:t>
      </w:r>
      <w:r w:rsidR="00A95C84" w:rsidRPr="000230E1">
        <w:rPr>
          <w:rFonts w:ascii="Arial" w:hAnsi="Arial" w:cs="Arial"/>
          <w:sz w:val="20"/>
          <w:szCs w:val="20"/>
          <w:lang w:eastAsia="en-US"/>
        </w:rPr>
        <w:t xml:space="preserve">provided </w:t>
      </w:r>
      <w:r w:rsidR="00762063" w:rsidRPr="000230E1">
        <w:rPr>
          <w:rFonts w:ascii="Arial" w:hAnsi="Arial" w:cs="Arial"/>
          <w:sz w:val="20"/>
          <w:szCs w:val="20"/>
          <w:lang w:eastAsia="en-US"/>
        </w:rPr>
        <w:t>assist</w:t>
      </w:r>
      <w:r w:rsidR="00A95C84" w:rsidRPr="000230E1">
        <w:rPr>
          <w:rFonts w:ascii="Arial" w:hAnsi="Arial" w:cs="Arial"/>
          <w:sz w:val="20"/>
          <w:szCs w:val="20"/>
          <w:lang w:eastAsia="en-US"/>
        </w:rPr>
        <w:t>ance –</w:t>
      </w:r>
      <w:r w:rsidR="00762063" w:rsidRPr="000230E1">
        <w:rPr>
          <w:rFonts w:ascii="Arial" w:hAnsi="Arial" w:cs="Arial"/>
          <w:sz w:val="20"/>
          <w:szCs w:val="20"/>
          <w:lang w:eastAsia="en-US"/>
        </w:rPr>
        <w:t xml:space="preserve"> identifying articles re</w:t>
      </w:r>
      <w:r w:rsidR="00A95C84" w:rsidRPr="000230E1">
        <w:rPr>
          <w:rFonts w:ascii="Arial" w:hAnsi="Arial" w:cs="Arial"/>
          <w:sz w:val="20"/>
          <w:szCs w:val="20"/>
          <w:lang w:eastAsia="en-US"/>
        </w:rPr>
        <w:t xml:space="preserve">lating </w:t>
      </w:r>
      <w:r w:rsidR="00762063" w:rsidRPr="000230E1">
        <w:rPr>
          <w:rFonts w:ascii="Arial" w:hAnsi="Arial" w:cs="Arial"/>
          <w:sz w:val="20"/>
          <w:szCs w:val="20"/>
          <w:lang w:eastAsia="en-US"/>
        </w:rPr>
        <w:t>to with-profits or consumers including presentations from past Life Conferences and Exhibitions</w:t>
      </w:r>
      <w:r w:rsidR="00A95C84" w:rsidRPr="000230E1">
        <w:rPr>
          <w:rFonts w:ascii="Arial" w:hAnsi="Arial" w:cs="Arial"/>
          <w:sz w:val="20"/>
          <w:szCs w:val="20"/>
          <w:lang w:eastAsia="en-US"/>
        </w:rPr>
        <w:t xml:space="preserve">. </w:t>
      </w:r>
      <w:r w:rsidR="00C27579" w:rsidRPr="000230E1">
        <w:rPr>
          <w:rFonts w:ascii="Arial" w:hAnsi="Arial" w:cs="Arial"/>
          <w:sz w:val="20"/>
          <w:szCs w:val="20"/>
          <w:lang w:eastAsia="en-US"/>
        </w:rPr>
        <w:t xml:space="preserve">These articles were reviewed and summarised by individual members with insights fed back to the wider working party for discussion. </w:t>
      </w:r>
    </w:p>
    <w:p w14:paraId="182394D4" w14:textId="77777777" w:rsidR="00C27579" w:rsidRPr="000230E1" w:rsidRDefault="00C27579" w:rsidP="000230E1">
      <w:pPr>
        <w:pStyle w:val="Footer"/>
        <w:jc w:val="both"/>
        <w:rPr>
          <w:rFonts w:ascii="Arial" w:hAnsi="Arial" w:cs="Arial"/>
          <w:sz w:val="20"/>
          <w:szCs w:val="20"/>
          <w:lang w:eastAsia="en-US"/>
        </w:rPr>
      </w:pPr>
    </w:p>
    <w:p w14:paraId="28115A2A" w14:textId="77777777" w:rsidR="00762063" w:rsidRPr="000230E1" w:rsidRDefault="00A95C84">
      <w:pPr>
        <w:pStyle w:val="Footer"/>
        <w:jc w:val="both"/>
        <w:rPr>
          <w:rFonts w:ascii="Arial" w:hAnsi="Arial" w:cs="Arial"/>
          <w:sz w:val="20"/>
          <w:szCs w:val="20"/>
        </w:rPr>
      </w:pPr>
      <w:r w:rsidRPr="000230E1">
        <w:rPr>
          <w:rFonts w:ascii="Arial" w:hAnsi="Arial" w:cs="Arial"/>
          <w:sz w:val="20"/>
          <w:szCs w:val="20"/>
          <w:lang w:eastAsia="en-US"/>
        </w:rPr>
        <w:t xml:space="preserve">Relevant materials are referred to </w:t>
      </w:r>
      <w:r w:rsidR="00762063" w:rsidRPr="000230E1">
        <w:rPr>
          <w:rFonts w:ascii="Arial" w:hAnsi="Arial" w:cs="Arial"/>
          <w:sz w:val="20"/>
          <w:szCs w:val="20"/>
          <w:lang w:eastAsia="en-US"/>
        </w:rPr>
        <w:t>within this section. Whilst there is much research around with-profits, very little has been undertaken on behalf of the Institute and Faculty of Actuaries from the perspective of the consumer in recent years. As such, t</w:t>
      </w:r>
      <w:r w:rsidR="00762063" w:rsidRPr="000230E1">
        <w:rPr>
          <w:rFonts w:ascii="Arial" w:hAnsi="Arial" w:cs="Arial"/>
          <w:sz w:val="20"/>
          <w:szCs w:val="20"/>
        </w:rPr>
        <w:t>he working party have referred to consumer research performed by providers and industry bodies in search of relevant themes and gaps.</w:t>
      </w:r>
    </w:p>
    <w:p w14:paraId="3CBCCC3C" w14:textId="77777777" w:rsidR="00762063" w:rsidRPr="000230E1" w:rsidRDefault="00762063" w:rsidP="000230E1">
      <w:pPr>
        <w:pStyle w:val="Footer"/>
        <w:jc w:val="both"/>
        <w:rPr>
          <w:rFonts w:ascii="Arial" w:hAnsi="Arial" w:cs="Arial"/>
          <w:sz w:val="20"/>
          <w:szCs w:val="20"/>
        </w:rPr>
      </w:pPr>
    </w:p>
    <w:p w14:paraId="31F3DE82" w14:textId="77777777" w:rsidR="00762063" w:rsidRPr="000230E1" w:rsidRDefault="00762063" w:rsidP="000230E1">
      <w:pPr>
        <w:jc w:val="both"/>
        <w:rPr>
          <w:rFonts w:ascii="Arial" w:eastAsia="Times New Roman" w:hAnsi="Arial" w:cs="Arial"/>
          <w:b/>
          <w:sz w:val="20"/>
          <w:szCs w:val="20"/>
          <w:lang w:eastAsia="en-US"/>
        </w:rPr>
      </w:pPr>
      <w:r w:rsidRPr="000230E1">
        <w:rPr>
          <w:rFonts w:ascii="Arial" w:eastAsia="Times New Roman" w:hAnsi="Arial" w:cs="Arial"/>
          <w:b/>
          <w:sz w:val="20"/>
          <w:szCs w:val="20"/>
          <w:lang w:eastAsia="en-US"/>
        </w:rPr>
        <w:t>3.1</w:t>
      </w:r>
      <w:r w:rsidRPr="000230E1">
        <w:rPr>
          <w:rFonts w:ascii="Arial" w:eastAsia="Times New Roman" w:hAnsi="Arial" w:cs="Arial"/>
          <w:b/>
          <w:sz w:val="20"/>
          <w:szCs w:val="20"/>
          <w:lang w:eastAsia="en-US"/>
        </w:rPr>
        <w:tab/>
      </w:r>
      <w:r w:rsidR="00C27579" w:rsidRPr="000230E1">
        <w:rPr>
          <w:rFonts w:ascii="Arial" w:hAnsi="Arial" w:cs="Arial"/>
          <w:b/>
          <w:sz w:val="20"/>
          <w:szCs w:val="20"/>
        </w:rPr>
        <w:t>Aviva policyholder advocate report</w:t>
      </w:r>
    </w:p>
    <w:p w14:paraId="73ABEA5B" w14:textId="77777777" w:rsidR="00C27579" w:rsidRPr="000230E1" w:rsidRDefault="00C27579" w:rsidP="000230E1">
      <w:pPr>
        <w:jc w:val="both"/>
        <w:rPr>
          <w:rFonts w:ascii="Arial" w:hAnsi="Arial" w:cs="Arial"/>
          <w:sz w:val="20"/>
          <w:szCs w:val="20"/>
        </w:rPr>
      </w:pPr>
      <w:r w:rsidRPr="000230E1">
        <w:rPr>
          <w:rFonts w:ascii="Arial" w:hAnsi="Arial" w:cs="Arial"/>
          <w:sz w:val="20"/>
          <w:szCs w:val="20"/>
        </w:rPr>
        <w:t xml:space="preserve">A number of relevant published articles were reviewed by the working party, we first consider the largest such article published in recent history. </w:t>
      </w:r>
    </w:p>
    <w:p w14:paraId="254A89B0" w14:textId="77777777" w:rsidR="00762063" w:rsidRPr="000230E1" w:rsidRDefault="00762063" w:rsidP="000230E1">
      <w:pPr>
        <w:jc w:val="both"/>
        <w:rPr>
          <w:rFonts w:ascii="Arial" w:hAnsi="Arial" w:cs="Arial"/>
          <w:sz w:val="20"/>
          <w:szCs w:val="20"/>
        </w:rPr>
      </w:pPr>
      <w:r w:rsidRPr="000230E1">
        <w:rPr>
          <w:rFonts w:ascii="Arial" w:hAnsi="Arial" w:cs="Arial"/>
          <w:sz w:val="20"/>
          <w:szCs w:val="20"/>
        </w:rPr>
        <w:t>The policyholder advocate report (</w:t>
      </w:r>
      <w:proofErr w:type="spellStart"/>
      <w:r w:rsidRPr="000230E1">
        <w:rPr>
          <w:rFonts w:ascii="Arial" w:hAnsi="Arial" w:cs="Arial"/>
          <w:sz w:val="20"/>
          <w:szCs w:val="20"/>
        </w:rPr>
        <w:t>Spottiswoode</w:t>
      </w:r>
      <w:proofErr w:type="spellEnd"/>
      <w:r w:rsidR="00C14DF1" w:rsidRPr="000230E1">
        <w:rPr>
          <w:rFonts w:ascii="Arial" w:hAnsi="Arial" w:cs="Arial"/>
          <w:sz w:val="20"/>
          <w:szCs w:val="20"/>
        </w:rPr>
        <w:t>,</w:t>
      </w:r>
      <w:r w:rsidRPr="000230E1">
        <w:rPr>
          <w:rFonts w:ascii="Arial" w:hAnsi="Arial" w:cs="Arial"/>
          <w:sz w:val="20"/>
          <w:szCs w:val="20"/>
        </w:rPr>
        <w:t xml:space="preserve"> 2009)</w:t>
      </w:r>
      <w:r w:rsidR="00C27579" w:rsidRPr="000230E1">
        <w:rPr>
          <w:rFonts w:ascii="Arial" w:hAnsi="Arial" w:cs="Arial"/>
          <w:sz w:val="20"/>
          <w:szCs w:val="20"/>
        </w:rPr>
        <w:t>, which was</w:t>
      </w:r>
      <w:r w:rsidRPr="000230E1">
        <w:rPr>
          <w:rFonts w:ascii="Arial" w:hAnsi="Arial" w:cs="Arial"/>
          <w:sz w:val="20"/>
          <w:szCs w:val="20"/>
        </w:rPr>
        <w:t xml:space="preserve"> written for the Aviva estate reattribution in 2009</w:t>
      </w:r>
      <w:r w:rsidR="00C27579" w:rsidRPr="000230E1">
        <w:rPr>
          <w:rFonts w:ascii="Arial" w:hAnsi="Arial" w:cs="Arial"/>
          <w:sz w:val="20"/>
          <w:szCs w:val="20"/>
        </w:rPr>
        <w:t>. This</w:t>
      </w:r>
      <w:r w:rsidRPr="000230E1">
        <w:rPr>
          <w:rFonts w:ascii="Arial" w:hAnsi="Arial" w:cs="Arial"/>
          <w:sz w:val="20"/>
          <w:szCs w:val="20"/>
        </w:rPr>
        <w:t xml:space="preserve"> </w:t>
      </w:r>
      <w:r w:rsidR="00C27579" w:rsidRPr="000230E1">
        <w:rPr>
          <w:rFonts w:ascii="Arial" w:hAnsi="Arial" w:cs="Arial"/>
          <w:sz w:val="20"/>
          <w:szCs w:val="20"/>
        </w:rPr>
        <w:t xml:space="preserve">article </w:t>
      </w:r>
      <w:r w:rsidRPr="000230E1">
        <w:rPr>
          <w:rFonts w:ascii="Arial" w:hAnsi="Arial" w:cs="Arial"/>
          <w:sz w:val="20"/>
          <w:szCs w:val="20"/>
        </w:rPr>
        <w:t xml:space="preserve">was the most focussed on consumer value from with-profits contracts. </w:t>
      </w:r>
      <w:proofErr w:type="spellStart"/>
      <w:r w:rsidRPr="000230E1">
        <w:rPr>
          <w:rFonts w:ascii="Arial" w:hAnsi="Arial" w:cs="Arial"/>
          <w:sz w:val="20"/>
          <w:szCs w:val="20"/>
        </w:rPr>
        <w:t>Spottiswoode</w:t>
      </w:r>
      <w:proofErr w:type="spellEnd"/>
      <w:r w:rsidRPr="000230E1">
        <w:rPr>
          <w:rFonts w:ascii="Arial" w:hAnsi="Arial" w:cs="Arial"/>
          <w:sz w:val="20"/>
          <w:szCs w:val="20"/>
        </w:rPr>
        <w:t xml:space="preserve"> notes that the House of Commons Treasury Select Committee</w:t>
      </w:r>
      <w:r w:rsidR="00C14DF1" w:rsidRPr="000230E1">
        <w:rPr>
          <w:rFonts w:ascii="Arial" w:hAnsi="Arial" w:cs="Arial"/>
          <w:sz w:val="20"/>
          <w:szCs w:val="20"/>
        </w:rPr>
        <w:t xml:space="preserve">’s </w:t>
      </w:r>
      <w:r w:rsidRPr="000230E1">
        <w:rPr>
          <w:rFonts w:ascii="Arial" w:hAnsi="Arial" w:cs="Arial"/>
          <w:sz w:val="20"/>
          <w:szCs w:val="20"/>
        </w:rPr>
        <w:t xml:space="preserve">April 2008 inquiry into the inherited estates of with-profits funds </w:t>
      </w:r>
      <w:r w:rsidR="00C27579" w:rsidRPr="000230E1">
        <w:rPr>
          <w:rFonts w:ascii="Arial" w:hAnsi="Arial" w:cs="Arial"/>
          <w:sz w:val="20"/>
          <w:szCs w:val="20"/>
        </w:rPr>
        <w:t>concluded</w:t>
      </w:r>
      <w:r w:rsidRPr="000230E1">
        <w:rPr>
          <w:rFonts w:ascii="Arial" w:hAnsi="Arial" w:cs="Arial"/>
          <w:sz w:val="20"/>
          <w:szCs w:val="20"/>
        </w:rPr>
        <w:t xml:space="preserve"> that the bargaining position of </w:t>
      </w:r>
      <w:r w:rsidR="00A95C84" w:rsidRPr="000230E1">
        <w:rPr>
          <w:rFonts w:ascii="Arial" w:hAnsi="Arial" w:cs="Arial"/>
          <w:sz w:val="20"/>
          <w:szCs w:val="20"/>
        </w:rPr>
        <w:t>consumers</w:t>
      </w:r>
      <w:r w:rsidRPr="000230E1">
        <w:rPr>
          <w:rFonts w:ascii="Arial" w:hAnsi="Arial" w:cs="Arial"/>
          <w:sz w:val="20"/>
          <w:szCs w:val="20"/>
        </w:rPr>
        <w:t xml:space="preserve"> is weak. </w:t>
      </w:r>
      <w:r w:rsidR="00C14DF1" w:rsidRPr="000230E1">
        <w:rPr>
          <w:rFonts w:ascii="Arial" w:hAnsi="Arial" w:cs="Arial"/>
          <w:sz w:val="20"/>
          <w:szCs w:val="20"/>
        </w:rPr>
        <w:t xml:space="preserve">This theme is also picked up within </w:t>
      </w:r>
      <w:r w:rsidRPr="000230E1">
        <w:rPr>
          <w:rFonts w:ascii="Arial" w:hAnsi="Arial" w:cs="Arial"/>
          <w:sz w:val="20"/>
          <w:szCs w:val="20"/>
        </w:rPr>
        <w:t>“Equity between with-profits policyholders and shareholders”</w:t>
      </w:r>
      <w:r w:rsidR="00C14DF1" w:rsidRPr="000230E1">
        <w:rPr>
          <w:rFonts w:ascii="Arial" w:hAnsi="Arial" w:cs="Arial"/>
          <w:sz w:val="20"/>
          <w:szCs w:val="20"/>
        </w:rPr>
        <w:t xml:space="preserve"> (O’Brien, 2011)</w:t>
      </w:r>
      <w:r w:rsidRPr="000230E1">
        <w:rPr>
          <w:rFonts w:ascii="Arial" w:hAnsi="Arial" w:cs="Arial"/>
          <w:sz w:val="20"/>
          <w:szCs w:val="20"/>
        </w:rPr>
        <w:t xml:space="preserve">, which emphasises the information asymmetries between </w:t>
      </w:r>
      <w:r w:rsidR="00A95C84" w:rsidRPr="000230E1">
        <w:rPr>
          <w:rFonts w:ascii="Arial" w:hAnsi="Arial" w:cs="Arial"/>
          <w:sz w:val="20"/>
          <w:szCs w:val="20"/>
        </w:rPr>
        <w:t>providers and consumers</w:t>
      </w:r>
      <w:r w:rsidRPr="000230E1">
        <w:rPr>
          <w:rFonts w:ascii="Arial" w:hAnsi="Arial" w:cs="Arial"/>
          <w:sz w:val="20"/>
          <w:szCs w:val="20"/>
        </w:rPr>
        <w:t xml:space="preserve">. </w:t>
      </w:r>
      <w:r w:rsidR="00C27579" w:rsidRPr="000230E1">
        <w:rPr>
          <w:rFonts w:ascii="Arial" w:hAnsi="Arial" w:cs="Arial"/>
          <w:sz w:val="20"/>
          <w:szCs w:val="20"/>
        </w:rPr>
        <w:t xml:space="preserve">Both </w:t>
      </w:r>
      <w:r w:rsidRPr="000230E1">
        <w:rPr>
          <w:rFonts w:ascii="Arial" w:hAnsi="Arial" w:cs="Arial"/>
          <w:sz w:val="20"/>
          <w:szCs w:val="20"/>
        </w:rPr>
        <w:t xml:space="preserve">papers suggest that </w:t>
      </w:r>
      <w:r w:rsidR="00A95C84" w:rsidRPr="000230E1">
        <w:rPr>
          <w:rFonts w:ascii="Arial" w:hAnsi="Arial" w:cs="Arial"/>
          <w:sz w:val="20"/>
          <w:szCs w:val="20"/>
        </w:rPr>
        <w:t>consumers</w:t>
      </w:r>
      <w:r w:rsidRPr="000230E1">
        <w:rPr>
          <w:rFonts w:ascii="Arial" w:hAnsi="Arial" w:cs="Arial"/>
          <w:sz w:val="20"/>
          <w:szCs w:val="20"/>
        </w:rPr>
        <w:t xml:space="preserve"> lack </w:t>
      </w:r>
      <w:r w:rsidR="00C27579" w:rsidRPr="000230E1">
        <w:rPr>
          <w:rFonts w:ascii="Arial" w:hAnsi="Arial" w:cs="Arial"/>
          <w:sz w:val="20"/>
          <w:szCs w:val="20"/>
        </w:rPr>
        <w:t>sufficient</w:t>
      </w:r>
      <w:r w:rsidRPr="000230E1">
        <w:rPr>
          <w:rFonts w:ascii="Arial" w:hAnsi="Arial" w:cs="Arial"/>
          <w:sz w:val="20"/>
          <w:szCs w:val="20"/>
        </w:rPr>
        <w:t xml:space="preserve"> knowledge to make informed decisions when faced with a choice of options</w:t>
      </w:r>
      <w:r w:rsidR="00C27579" w:rsidRPr="000230E1">
        <w:rPr>
          <w:rFonts w:ascii="Arial" w:hAnsi="Arial" w:cs="Arial"/>
          <w:sz w:val="20"/>
          <w:szCs w:val="20"/>
        </w:rPr>
        <w:t xml:space="preserve"> affecting their with-profits policies</w:t>
      </w:r>
      <w:r w:rsidRPr="000230E1">
        <w:rPr>
          <w:rFonts w:ascii="Arial" w:hAnsi="Arial" w:cs="Arial"/>
          <w:sz w:val="20"/>
          <w:szCs w:val="20"/>
        </w:rPr>
        <w:t>.</w:t>
      </w:r>
    </w:p>
    <w:p w14:paraId="3790FCAE" w14:textId="77777777" w:rsidR="00C27579" w:rsidRPr="000230E1" w:rsidRDefault="00C27579" w:rsidP="000230E1">
      <w:pPr>
        <w:jc w:val="both"/>
        <w:rPr>
          <w:rFonts w:ascii="Arial" w:hAnsi="Arial" w:cs="Arial"/>
          <w:b/>
          <w:sz w:val="20"/>
          <w:szCs w:val="20"/>
        </w:rPr>
      </w:pPr>
      <w:r w:rsidRPr="000230E1">
        <w:rPr>
          <w:rFonts w:ascii="Arial" w:hAnsi="Arial" w:cs="Arial"/>
          <w:b/>
          <w:sz w:val="20"/>
          <w:szCs w:val="20"/>
        </w:rPr>
        <w:t>3.2</w:t>
      </w:r>
      <w:r w:rsidRPr="000230E1">
        <w:rPr>
          <w:rFonts w:ascii="Arial" w:hAnsi="Arial" w:cs="Arial"/>
          <w:b/>
          <w:sz w:val="20"/>
          <w:szCs w:val="20"/>
        </w:rPr>
        <w:tab/>
        <w:t>Media coverage</w:t>
      </w:r>
    </w:p>
    <w:p w14:paraId="503A6D96" w14:textId="1BEAA4AA" w:rsidR="00C27579" w:rsidRPr="000230E1" w:rsidRDefault="00762063" w:rsidP="000230E1">
      <w:pPr>
        <w:jc w:val="both"/>
        <w:rPr>
          <w:rFonts w:ascii="Arial" w:hAnsi="Arial" w:cs="Arial"/>
          <w:sz w:val="20"/>
          <w:szCs w:val="20"/>
        </w:rPr>
      </w:pPr>
      <w:r w:rsidRPr="000230E1">
        <w:rPr>
          <w:rFonts w:ascii="Arial" w:hAnsi="Arial" w:cs="Arial"/>
          <w:sz w:val="20"/>
          <w:szCs w:val="20"/>
        </w:rPr>
        <w:t xml:space="preserve">Consumer views and understanding can also be influenced by media coverage. To understand the consumer perspective, opinions expressed on with-profits products within media articles have also been considered. </w:t>
      </w:r>
      <w:r w:rsidR="00C27579" w:rsidRPr="000230E1">
        <w:rPr>
          <w:rFonts w:ascii="Arial" w:hAnsi="Arial" w:cs="Arial"/>
          <w:sz w:val="20"/>
          <w:szCs w:val="20"/>
        </w:rPr>
        <w:t>A number of articles were identified and these tended to take a negative view of with-profits,</w:t>
      </w:r>
      <w:r w:rsidRPr="000230E1">
        <w:rPr>
          <w:rFonts w:ascii="Arial" w:hAnsi="Arial" w:cs="Arial"/>
          <w:sz w:val="20"/>
          <w:szCs w:val="20"/>
        </w:rPr>
        <w:t xml:space="preserve"> </w:t>
      </w:r>
      <w:r w:rsidR="00C27579" w:rsidRPr="000230E1">
        <w:rPr>
          <w:rFonts w:ascii="Arial" w:hAnsi="Arial" w:cs="Arial"/>
          <w:sz w:val="20"/>
          <w:szCs w:val="20"/>
        </w:rPr>
        <w:t>which appears still</w:t>
      </w:r>
      <w:r w:rsidRPr="000230E1">
        <w:rPr>
          <w:rFonts w:ascii="Arial" w:hAnsi="Arial" w:cs="Arial"/>
          <w:sz w:val="20"/>
          <w:szCs w:val="20"/>
        </w:rPr>
        <w:t xml:space="preserve"> tarnished by </w:t>
      </w:r>
      <w:r w:rsidR="00C27579" w:rsidRPr="000230E1">
        <w:rPr>
          <w:rFonts w:ascii="Arial" w:hAnsi="Arial" w:cs="Arial"/>
          <w:sz w:val="20"/>
          <w:szCs w:val="20"/>
        </w:rPr>
        <w:t xml:space="preserve">historic </w:t>
      </w:r>
      <w:r w:rsidRPr="000230E1">
        <w:rPr>
          <w:rFonts w:ascii="Arial" w:hAnsi="Arial" w:cs="Arial"/>
          <w:sz w:val="20"/>
          <w:szCs w:val="20"/>
        </w:rPr>
        <w:t xml:space="preserve">mortgage endowment </w:t>
      </w:r>
      <w:proofErr w:type="spellStart"/>
      <w:r w:rsidRPr="000230E1">
        <w:rPr>
          <w:rFonts w:ascii="Arial" w:hAnsi="Arial" w:cs="Arial"/>
          <w:sz w:val="20"/>
          <w:szCs w:val="20"/>
        </w:rPr>
        <w:t>mis</w:t>
      </w:r>
      <w:proofErr w:type="spellEnd"/>
      <w:r w:rsidRPr="000230E1">
        <w:rPr>
          <w:rFonts w:ascii="Arial" w:hAnsi="Arial" w:cs="Arial"/>
          <w:sz w:val="20"/>
          <w:szCs w:val="20"/>
        </w:rPr>
        <w:t>-selling</w:t>
      </w:r>
      <w:r w:rsidR="003D2763">
        <w:rPr>
          <w:rFonts w:ascii="Arial" w:hAnsi="Arial" w:cs="Arial"/>
          <w:sz w:val="20"/>
          <w:szCs w:val="20"/>
        </w:rPr>
        <w:t>,</w:t>
      </w:r>
      <w:r w:rsidR="00C27579" w:rsidRPr="000230E1">
        <w:rPr>
          <w:rFonts w:ascii="Arial" w:hAnsi="Arial" w:cs="Arial"/>
          <w:sz w:val="20"/>
          <w:szCs w:val="20"/>
        </w:rPr>
        <w:t xml:space="preserve"> the fall of Equitable Life</w:t>
      </w:r>
      <w:r w:rsidR="003D2763">
        <w:rPr>
          <w:rFonts w:ascii="Arial" w:hAnsi="Arial" w:cs="Arial"/>
          <w:sz w:val="20"/>
          <w:szCs w:val="20"/>
        </w:rPr>
        <w:t xml:space="preserve"> and the decline in </w:t>
      </w:r>
      <w:proofErr w:type="spellStart"/>
      <w:r w:rsidR="003D2763">
        <w:rPr>
          <w:rFonts w:ascii="Arial" w:hAnsi="Arial" w:cs="Arial"/>
          <w:sz w:val="20"/>
          <w:szCs w:val="20"/>
        </w:rPr>
        <w:t>payouts</w:t>
      </w:r>
      <w:proofErr w:type="spellEnd"/>
      <w:r w:rsidR="003D2763">
        <w:rPr>
          <w:rFonts w:ascii="Arial" w:hAnsi="Arial" w:cs="Arial"/>
          <w:sz w:val="20"/>
          <w:szCs w:val="20"/>
        </w:rPr>
        <w:t xml:space="preserve"> this century</w:t>
      </w:r>
      <w:r w:rsidRPr="000230E1">
        <w:rPr>
          <w:rFonts w:ascii="Arial" w:hAnsi="Arial" w:cs="Arial"/>
          <w:sz w:val="20"/>
          <w:szCs w:val="20"/>
        </w:rPr>
        <w:t xml:space="preserve">. </w:t>
      </w:r>
      <w:r w:rsidR="00030681">
        <w:rPr>
          <w:rFonts w:ascii="Arial" w:hAnsi="Arial" w:cs="Arial"/>
          <w:sz w:val="20"/>
          <w:szCs w:val="20"/>
        </w:rPr>
        <w:t xml:space="preserve"> </w:t>
      </w:r>
    </w:p>
    <w:p w14:paraId="6C8AED2E" w14:textId="77777777" w:rsidR="00762063" w:rsidRPr="000230E1" w:rsidRDefault="00C27579" w:rsidP="000230E1">
      <w:pPr>
        <w:jc w:val="both"/>
        <w:rPr>
          <w:rFonts w:ascii="Arial" w:hAnsi="Arial" w:cs="Arial"/>
          <w:sz w:val="20"/>
          <w:szCs w:val="20"/>
        </w:rPr>
      </w:pPr>
      <w:r w:rsidRPr="000230E1">
        <w:rPr>
          <w:rFonts w:ascii="Arial" w:hAnsi="Arial" w:cs="Arial"/>
          <w:sz w:val="20"/>
          <w:szCs w:val="20"/>
        </w:rPr>
        <w:t xml:space="preserve">Several headlines and articles paint the insurance provider </w:t>
      </w:r>
      <w:r w:rsidR="00762063" w:rsidRPr="000230E1">
        <w:rPr>
          <w:rFonts w:ascii="Arial" w:hAnsi="Arial" w:cs="Arial"/>
          <w:sz w:val="20"/>
          <w:szCs w:val="20"/>
        </w:rPr>
        <w:t xml:space="preserve">as the villain and </w:t>
      </w:r>
      <w:r w:rsidR="00DC4410" w:rsidRPr="000230E1">
        <w:rPr>
          <w:rFonts w:ascii="Arial" w:hAnsi="Arial" w:cs="Arial"/>
          <w:sz w:val="20"/>
          <w:szCs w:val="20"/>
        </w:rPr>
        <w:t xml:space="preserve">construe past </w:t>
      </w:r>
      <w:r w:rsidR="00762063" w:rsidRPr="000230E1">
        <w:rPr>
          <w:rFonts w:ascii="Arial" w:hAnsi="Arial" w:cs="Arial"/>
          <w:sz w:val="20"/>
          <w:szCs w:val="20"/>
        </w:rPr>
        <w:t>illustrat</w:t>
      </w:r>
      <w:r w:rsidR="00DC4410" w:rsidRPr="000230E1">
        <w:rPr>
          <w:rFonts w:ascii="Arial" w:hAnsi="Arial" w:cs="Arial"/>
          <w:sz w:val="20"/>
          <w:szCs w:val="20"/>
        </w:rPr>
        <w:t xml:space="preserve">ive projections to represent </w:t>
      </w:r>
      <w:r w:rsidR="00762063" w:rsidRPr="000230E1">
        <w:rPr>
          <w:rFonts w:ascii="Arial" w:hAnsi="Arial" w:cs="Arial"/>
          <w:sz w:val="20"/>
          <w:szCs w:val="20"/>
        </w:rPr>
        <w:t xml:space="preserve">‘promises’. </w:t>
      </w:r>
      <w:r w:rsidR="00DC4410" w:rsidRPr="000230E1">
        <w:rPr>
          <w:rFonts w:ascii="Arial" w:hAnsi="Arial" w:cs="Arial"/>
          <w:sz w:val="20"/>
          <w:szCs w:val="20"/>
        </w:rPr>
        <w:t xml:space="preserve">As policyholders read articles that include such </w:t>
      </w:r>
      <w:r w:rsidR="00762063" w:rsidRPr="000230E1">
        <w:rPr>
          <w:rFonts w:ascii="Arial" w:hAnsi="Arial" w:cs="Arial"/>
          <w:sz w:val="20"/>
          <w:szCs w:val="20"/>
        </w:rPr>
        <w:t xml:space="preserve">negative language </w:t>
      </w:r>
      <w:r w:rsidR="00DC4410" w:rsidRPr="000230E1">
        <w:rPr>
          <w:rFonts w:ascii="Arial" w:hAnsi="Arial" w:cs="Arial"/>
          <w:sz w:val="20"/>
          <w:szCs w:val="20"/>
        </w:rPr>
        <w:t>as</w:t>
      </w:r>
      <w:r w:rsidR="00762063" w:rsidRPr="000230E1">
        <w:rPr>
          <w:rFonts w:ascii="Arial" w:hAnsi="Arial" w:cs="Arial"/>
          <w:sz w:val="20"/>
          <w:szCs w:val="20"/>
        </w:rPr>
        <w:t xml:space="preserve"> ‘toxic’ or ‘misery’ </w:t>
      </w:r>
      <w:r w:rsidR="00DC4410" w:rsidRPr="000230E1">
        <w:rPr>
          <w:rFonts w:ascii="Arial" w:hAnsi="Arial" w:cs="Arial"/>
          <w:sz w:val="20"/>
          <w:szCs w:val="20"/>
        </w:rPr>
        <w:t xml:space="preserve">could be forgiven for thinking they were mistaken in purchasing </w:t>
      </w:r>
      <w:proofErr w:type="spellStart"/>
      <w:r w:rsidR="00DC4410" w:rsidRPr="000230E1">
        <w:rPr>
          <w:rFonts w:ascii="Arial" w:hAnsi="Arial" w:cs="Arial"/>
          <w:sz w:val="20"/>
          <w:szCs w:val="20"/>
        </w:rPr>
        <w:t>their</w:t>
      </w:r>
      <w:proofErr w:type="spellEnd"/>
      <w:r w:rsidR="00DC4410" w:rsidRPr="000230E1">
        <w:rPr>
          <w:rFonts w:ascii="Arial" w:hAnsi="Arial" w:cs="Arial"/>
          <w:sz w:val="20"/>
          <w:szCs w:val="20"/>
        </w:rPr>
        <w:t xml:space="preserve"> with-profits product. </w:t>
      </w:r>
      <w:r w:rsidR="00C14DF1" w:rsidRPr="000230E1">
        <w:rPr>
          <w:rFonts w:ascii="Arial" w:hAnsi="Arial" w:cs="Arial"/>
          <w:sz w:val="20"/>
          <w:szCs w:val="20"/>
        </w:rPr>
        <w:t xml:space="preserve">A </w:t>
      </w:r>
      <w:r w:rsidR="00762063" w:rsidRPr="000230E1">
        <w:rPr>
          <w:rFonts w:ascii="Arial" w:eastAsia="Times New Roman" w:hAnsi="Arial" w:cs="Arial"/>
          <w:sz w:val="20"/>
          <w:szCs w:val="20"/>
          <w:lang w:eastAsia="en-US"/>
        </w:rPr>
        <w:t xml:space="preserve">headline from </w:t>
      </w:r>
      <w:r w:rsidR="00762063" w:rsidRPr="000230E1">
        <w:rPr>
          <w:rFonts w:ascii="Arial" w:hAnsi="Arial" w:cs="Arial"/>
          <w:sz w:val="20"/>
          <w:szCs w:val="20"/>
        </w:rPr>
        <w:t xml:space="preserve">July 2016 </w:t>
      </w:r>
      <w:r w:rsidR="00C14DF1" w:rsidRPr="000230E1">
        <w:rPr>
          <w:rFonts w:ascii="Arial" w:hAnsi="Arial" w:cs="Arial"/>
          <w:sz w:val="20"/>
          <w:szCs w:val="20"/>
        </w:rPr>
        <w:t xml:space="preserve">(thisismoney.co.uk, 2016) </w:t>
      </w:r>
      <w:r w:rsidR="00762063" w:rsidRPr="000230E1">
        <w:rPr>
          <w:rFonts w:ascii="Arial" w:hAnsi="Arial" w:cs="Arial"/>
          <w:sz w:val="20"/>
          <w:szCs w:val="20"/>
        </w:rPr>
        <w:t xml:space="preserve">paints a picture of </w:t>
      </w:r>
      <w:r w:rsidR="00C14DF1" w:rsidRPr="000230E1">
        <w:rPr>
          <w:rFonts w:ascii="Arial" w:hAnsi="Arial" w:cs="Arial"/>
          <w:sz w:val="20"/>
          <w:szCs w:val="20"/>
        </w:rPr>
        <w:t xml:space="preserve">the </w:t>
      </w:r>
      <w:r w:rsidR="00762063" w:rsidRPr="000230E1">
        <w:rPr>
          <w:rFonts w:ascii="Arial" w:hAnsi="Arial" w:cs="Arial"/>
          <w:sz w:val="20"/>
          <w:szCs w:val="20"/>
        </w:rPr>
        <w:t xml:space="preserve">insurer offering ‘promises’ at point of sale which were not achieved by with-profits policies. </w:t>
      </w:r>
    </w:p>
    <w:p w14:paraId="28B9E7D0" w14:textId="77777777" w:rsidR="00DC4410" w:rsidRPr="000230E1" w:rsidRDefault="00DC4410" w:rsidP="000230E1">
      <w:pPr>
        <w:jc w:val="both"/>
        <w:rPr>
          <w:rFonts w:ascii="Arial" w:hAnsi="Arial" w:cs="Arial"/>
          <w:sz w:val="20"/>
          <w:szCs w:val="20"/>
        </w:rPr>
      </w:pPr>
      <w:r w:rsidRPr="000230E1">
        <w:rPr>
          <w:rFonts w:ascii="Arial" w:hAnsi="Arial" w:cs="Arial"/>
          <w:sz w:val="20"/>
          <w:szCs w:val="20"/>
        </w:rPr>
        <w:t xml:space="preserve">It </w:t>
      </w:r>
      <w:r w:rsidR="00501D3F" w:rsidRPr="000230E1">
        <w:rPr>
          <w:rFonts w:ascii="Arial" w:hAnsi="Arial" w:cs="Arial"/>
          <w:sz w:val="20"/>
          <w:szCs w:val="20"/>
        </w:rPr>
        <w:t>is not</w:t>
      </w:r>
      <w:r w:rsidRPr="000230E1">
        <w:rPr>
          <w:rFonts w:ascii="Arial" w:hAnsi="Arial" w:cs="Arial"/>
          <w:sz w:val="20"/>
          <w:szCs w:val="20"/>
        </w:rPr>
        <w:t xml:space="preserve"> all doom and </w:t>
      </w:r>
      <w:r w:rsidR="00501D3F" w:rsidRPr="000230E1">
        <w:rPr>
          <w:rFonts w:ascii="Arial" w:hAnsi="Arial" w:cs="Arial"/>
          <w:sz w:val="20"/>
          <w:szCs w:val="20"/>
        </w:rPr>
        <w:t>gloom;</w:t>
      </w:r>
      <w:r w:rsidRPr="000230E1">
        <w:rPr>
          <w:rFonts w:ascii="Arial" w:hAnsi="Arial" w:cs="Arial"/>
          <w:sz w:val="20"/>
          <w:szCs w:val="20"/>
        </w:rPr>
        <w:t xml:space="preserve"> there are corners of the press where balanced considered views are painted. Some notable examples appear in the ‘agony aunt’ style columns where reporters identify policyholders’ misconceptions and can independently verify that providers have acted in a responsible way. Complaints to these columns have typically arisen from less than perfect communication between the provider and policyholder. This highlights the importance of clear communication to policyholders, which is considered further in section 4 of this paper. </w:t>
      </w:r>
    </w:p>
    <w:p w14:paraId="7EFED1D4" w14:textId="77777777" w:rsidR="00762063" w:rsidRPr="000230E1" w:rsidRDefault="00C27579" w:rsidP="000230E1">
      <w:pPr>
        <w:jc w:val="both"/>
        <w:rPr>
          <w:rFonts w:ascii="Arial" w:hAnsi="Arial" w:cs="Arial"/>
          <w:b/>
          <w:sz w:val="20"/>
          <w:szCs w:val="20"/>
        </w:rPr>
      </w:pPr>
      <w:r w:rsidRPr="000230E1">
        <w:rPr>
          <w:rFonts w:ascii="Arial" w:hAnsi="Arial" w:cs="Arial"/>
          <w:b/>
          <w:sz w:val="20"/>
          <w:szCs w:val="20"/>
        </w:rPr>
        <w:t>3.3</w:t>
      </w:r>
      <w:r w:rsidR="00C14DF1" w:rsidRPr="000230E1">
        <w:rPr>
          <w:rFonts w:ascii="Arial" w:hAnsi="Arial" w:cs="Arial"/>
          <w:b/>
          <w:sz w:val="20"/>
          <w:szCs w:val="20"/>
        </w:rPr>
        <w:tab/>
      </w:r>
      <w:r w:rsidR="00762063" w:rsidRPr="000230E1">
        <w:rPr>
          <w:rFonts w:ascii="Arial" w:hAnsi="Arial" w:cs="Arial"/>
          <w:b/>
          <w:sz w:val="20"/>
          <w:szCs w:val="20"/>
        </w:rPr>
        <w:t>Company specific research</w:t>
      </w:r>
    </w:p>
    <w:p w14:paraId="10C4A5DC" w14:textId="77777777" w:rsidR="00762063" w:rsidRPr="000230E1" w:rsidRDefault="00762063" w:rsidP="000230E1">
      <w:pPr>
        <w:jc w:val="both"/>
        <w:rPr>
          <w:rFonts w:ascii="Arial" w:hAnsi="Arial" w:cs="Arial"/>
          <w:sz w:val="20"/>
          <w:szCs w:val="20"/>
        </w:rPr>
      </w:pPr>
      <w:r w:rsidRPr="000230E1">
        <w:rPr>
          <w:rFonts w:ascii="Arial" w:hAnsi="Arial" w:cs="Arial"/>
          <w:sz w:val="20"/>
          <w:szCs w:val="20"/>
        </w:rPr>
        <w:t xml:space="preserve">A number of with-profits providers have carried out their own research to </w:t>
      </w:r>
      <w:r w:rsidR="00B96058" w:rsidRPr="000230E1">
        <w:rPr>
          <w:rFonts w:ascii="Arial" w:hAnsi="Arial" w:cs="Arial"/>
          <w:sz w:val="20"/>
          <w:szCs w:val="20"/>
        </w:rPr>
        <w:t>determine</w:t>
      </w:r>
      <w:r w:rsidRPr="000230E1">
        <w:rPr>
          <w:rFonts w:ascii="Arial" w:hAnsi="Arial" w:cs="Arial"/>
          <w:sz w:val="20"/>
          <w:szCs w:val="20"/>
        </w:rPr>
        <w:t xml:space="preserve"> the level of understanding </w:t>
      </w:r>
      <w:r w:rsidR="00B96058" w:rsidRPr="000230E1">
        <w:rPr>
          <w:rFonts w:ascii="Arial" w:hAnsi="Arial" w:cs="Arial"/>
          <w:sz w:val="20"/>
          <w:szCs w:val="20"/>
        </w:rPr>
        <w:t>for</w:t>
      </w:r>
      <w:r w:rsidRPr="000230E1">
        <w:rPr>
          <w:rFonts w:ascii="Arial" w:hAnsi="Arial" w:cs="Arial"/>
          <w:sz w:val="20"/>
          <w:szCs w:val="20"/>
        </w:rPr>
        <w:t xml:space="preserve"> their </w:t>
      </w:r>
      <w:r w:rsidR="00A95C84" w:rsidRPr="000230E1">
        <w:rPr>
          <w:rFonts w:ascii="Arial" w:hAnsi="Arial" w:cs="Arial"/>
          <w:sz w:val="20"/>
          <w:szCs w:val="20"/>
        </w:rPr>
        <w:t xml:space="preserve">own </w:t>
      </w:r>
      <w:r w:rsidRPr="000230E1">
        <w:rPr>
          <w:rFonts w:ascii="Arial" w:hAnsi="Arial" w:cs="Arial"/>
          <w:sz w:val="20"/>
          <w:szCs w:val="20"/>
        </w:rPr>
        <w:t xml:space="preserve">with-profits </w:t>
      </w:r>
      <w:r w:rsidR="00A95C84" w:rsidRPr="000230E1">
        <w:rPr>
          <w:rFonts w:ascii="Arial" w:hAnsi="Arial" w:cs="Arial"/>
          <w:sz w:val="20"/>
          <w:szCs w:val="20"/>
        </w:rPr>
        <w:t>consumers</w:t>
      </w:r>
      <w:r w:rsidRPr="000230E1">
        <w:rPr>
          <w:rFonts w:ascii="Arial" w:hAnsi="Arial" w:cs="Arial"/>
          <w:sz w:val="20"/>
          <w:szCs w:val="20"/>
        </w:rPr>
        <w:t xml:space="preserve"> and the relative value </w:t>
      </w:r>
      <w:r w:rsidR="00B96058" w:rsidRPr="000230E1">
        <w:rPr>
          <w:rFonts w:ascii="Arial" w:hAnsi="Arial" w:cs="Arial"/>
          <w:sz w:val="20"/>
          <w:szCs w:val="20"/>
        </w:rPr>
        <w:t xml:space="preserve">that </w:t>
      </w:r>
      <w:r w:rsidRPr="000230E1">
        <w:rPr>
          <w:rFonts w:ascii="Arial" w:hAnsi="Arial" w:cs="Arial"/>
          <w:sz w:val="20"/>
          <w:szCs w:val="20"/>
        </w:rPr>
        <w:t>they place on communications with respect to their policies. We have identified the key themes from this research below.</w:t>
      </w:r>
    </w:p>
    <w:p w14:paraId="631B9581" w14:textId="77777777" w:rsidR="00B96058" w:rsidRPr="000230E1" w:rsidRDefault="00762063" w:rsidP="000230E1">
      <w:pPr>
        <w:jc w:val="both"/>
        <w:rPr>
          <w:rFonts w:ascii="Arial" w:hAnsi="Arial" w:cs="Arial"/>
          <w:sz w:val="20"/>
          <w:szCs w:val="20"/>
        </w:rPr>
      </w:pPr>
      <w:r w:rsidRPr="000230E1">
        <w:rPr>
          <w:rFonts w:ascii="Arial" w:hAnsi="Arial" w:cs="Arial"/>
          <w:sz w:val="20"/>
          <w:szCs w:val="20"/>
        </w:rPr>
        <w:t xml:space="preserve">The research found that of all the information </w:t>
      </w:r>
      <w:r w:rsidR="00A95C84" w:rsidRPr="000230E1">
        <w:rPr>
          <w:rFonts w:ascii="Arial" w:hAnsi="Arial" w:cs="Arial"/>
          <w:sz w:val="20"/>
          <w:szCs w:val="20"/>
        </w:rPr>
        <w:t xml:space="preserve">consumers </w:t>
      </w:r>
      <w:r w:rsidRPr="000230E1">
        <w:rPr>
          <w:rFonts w:ascii="Arial" w:hAnsi="Arial" w:cs="Arial"/>
          <w:sz w:val="20"/>
          <w:szCs w:val="20"/>
        </w:rPr>
        <w:t xml:space="preserve">receive, the greatest </w:t>
      </w:r>
      <w:r w:rsidR="002471FA" w:rsidRPr="000230E1">
        <w:rPr>
          <w:rFonts w:ascii="Arial" w:hAnsi="Arial" w:cs="Arial"/>
          <w:sz w:val="20"/>
          <w:szCs w:val="20"/>
        </w:rPr>
        <w:t xml:space="preserve">appreciation is for </w:t>
      </w:r>
      <w:r w:rsidRPr="000230E1">
        <w:rPr>
          <w:rFonts w:ascii="Arial" w:hAnsi="Arial" w:cs="Arial"/>
          <w:sz w:val="20"/>
          <w:szCs w:val="20"/>
        </w:rPr>
        <w:t xml:space="preserve">their benefit statement, followed by the accompanying covering letter. </w:t>
      </w:r>
      <w:r w:rsidR="00A95C84" w:rsidRPr="000230E1">
        <w:rPr>
          <w:rFonts w:ascii="Arial" w:hAnsi="Arial" w:cs="Arial"/>
          <w:sz w:val="20"/>
          <w:szCs w:val="20"/>
        </w:rPr>
        <w:t xml:space="preserve">The least </w:t>
      </w:r>
      <w:r w:rsidRPr="000230E1">
        <w:rPr>
          <w:rFonts w:ascii="Arial" w:hAnsi="Arial" w:cs="Arial"/>
          <w:sz w:val="20"/>
          <w:szCs w:val="20"/>
        </w:rPr>
        <w:t>value</w:t>
      </w:r>
      <w:r w:rsidR="00A95C84" w:rsidRPr="000230E1">
        <w:rPr>
          <w:rFonts w:ascii="Arial" w:hAnsi="Arial" w:cs="Arial"/>
          <w:sz w:val="20"/>
          <w:szCs w:val="20"/>
        </w:rPr>
        <w:t>d information</w:t>
      </w:r>
      <w:r w:rsidR="00B96058" w:rsidRPr="000230E1">
        <w:rPr>
          <w:rFonts w:ascii="Arial" w:hAnsi="Arial" w:cs="Arial"/>
          <w:sz w:val="20"/>
          <w:szCs w:val="20"/>
        </w:rPr>
        <w:t xml:space="preserve"> seemed to be</w:t>
      </w:r>
      <w:r w:rsidR="002471FA" w:rsidRPr="000230E1">
        <w:rPr>
          <w:rFonts w:ascii="Arial" w:hAnsi="Arial" w:cs="Arial"/>
          <w:sz w:val="20"/>
          <w:szCs w:val="20"/>
        </w:rPr>
        <w:t xml:space="preserve"> </w:t>
      </w:r>
      <w:r w:rsidRPr="000230E1">
        <w:rPr>
          <w:rFonts w:ascii="Arial" w:hAnsi="Arial" w:cs="Arial"/>
          <w:sz w:val="20"/>
          <w:szCs w:val="20"/>
        </w:rPr>
        <w:t xml:space="preserve">Q&amp;As or booklets, which </w:t>
      </w:r>
      <w:r w:rsidR="00A95C84" w:rsidRPr="000230E1">
        <w:rPr>
          <w:rFonts w:ascii="Arial" w:hAnsi="Arial" w:cs="Arial"/>
          <w:sz w:val="20"/>
          <w:szCs w:val="20"/>
        </w:rPr>
        <w:t xml:space="preserve">were </w:t>
      </w:r>
      <w:r w:rsidRPr="000230E1">
        <w:rPr>
          <w:rFonts w:ascii="Arial" w:hAnsi="Arial" w:cs="Arial"/>
          <w:sz w:val="20"/>
          <w:szCs w:val="20"/>
        </w:rPr>
        <w:t xml:space="preserve">perceived </w:t>
      </w:r>
      <w:r w:rsidR="00A95C84" w:rsidRPr="000230E1">
        <w:rPr>
          <w:rFonts w:ascii="Arial" w:hAnsi="Arial" w:cs="Arial"/>
          <w:sz w:val="20"/>
          <w:szCs w:val="20"/>
        </w:rPr>
        <w:t>to be</w:t>
      </w:r>
      <w:r w:rsidRPr="000230E1">
        <w:rPr>
          <w:rFonts w:ascii="Arial" w:hAnsi="Arial" w:cs="Arial"/>
          <w:sz w:val="20"/>
          <w:szCs w:val="20"/>
        </w:rPr>
        <w:t xml:space="preserve"> sales </w:t>
      </w:r>
      <w:r w:rsidR="00B96058" w:rsidRPr="000230E1">
        <w:rPr>
          <w:rFonts w:ascii="Arial" w:hAnsi="Arial" w:cs="Arial"/>
          <w:sz w:val="20"/>
          <w:szCs w:val="20"/>
        </w:rPr>
        <w:t>literature</w:t>
      </w:r>
      <w:r w:rsidRPr="000230E1">
        <w:rPr>
          <w:rFonts w:ascii="Arial" w:hAnsi="Arial" w:cs="Arial"/>
          <w:sz w:val="20"/>
          <w:szCs w:val="20"/>
        </w:rPr>
        <w:t xml:space="preserve">. </w:t>
      </w:r>
    </w:p>
    <w:p w14:paraId="344352A0" w14:textId="77777777" w:rsidR="00B96058" w:rsidRPr="000230E1" w:rsidRDefault="00B96058" w:rsidP="000230E1">
      <w:pPr>
        <w:jc w:val="both"/>
        <w:rPr>
          <w:rFonts w:ascii="Arial" w:hAnsi="Arial" w:cs="Arial"/>
          <w:sz w:val="20"/>
          <w:szCs w:val="20"/>
        </w:rPr>
      </w:pPr>
      <w:r w:rsidRPr="000230E1">
        <w:rPr>
          <w:rFonts w:ascii="Arial" w:hAnsi="Arial" w:cs="Arial"/>
          <w:sz w:val="20"/>
          <w:szCs w:val="20"/>
        </w:rPr>
        <w:t>Other r</w:t>
      </w:r>
      <w:r w:rsidR="00762063" w:rsidRPr="000230E1">
        <w:rPr>
          <w:rFonts w:ascii="Arial" w:hAnsi="Arial" w:cs="Arial"/>
          <w:sz w:val="20"/>
          <w:szCs w:val="20"/>
        </w:rPr>
        <w:t xml:space="preserve">esearch </w:t>
      </w:r>
      <w:r w:rsidR="00CB41DC" w:rsidRPr="000230E1">
        <w:rPr>
          <w:rFonts w:ascii="Arial" w:hAnsi="Arial" w:cs="Arial"/>
          <w:sz w:val="20"/>
          <w:szCs w:val="20"/>
        </w:rPr>
        <w:t xml:space="preserve">suggested </w:t>
      </w:r>
      <w:r w:rsidR="00762063" w:rsidRPr="000230E1">
        <w:rPr>
          <w:rFonts w:ascii="Arial" w:hAnsi="Arial" w:cs="Arial"/>
          <w:sz w:val="20"/>
          <w:szCs w:val="20"/>
        </w:rPr>
        <w:t xml:space="preserve">it </w:t>
      </w:r>
      <w:r w:rsidR="00CB41DC" w:rsidRPr="000230E1">
        <w:rPr>
          <w:rFonts w:ascii="Arial" w:hAnsi="Arial" w:cs="Arial"/>
          <w:sz w:val="20"/>
          <w:szCs w:val="20"/>
        </w:rPr>
        <w:t>was not a</w:t>
      </w:r>
      <w:r w:rsidR="00762063" w:rsidRPr="000230E1">
        <w:rPr>
          <w:rFonts w:ascii="Arial" w:hAnsi="Arial" w:cs="Arial"/>
          <w:sz w:val="20"/>
          <w:szCs w:val="20"/>
        </w:rPr>
        <w:t>lways clear to consumers why they have been contacted</w:t>
      </w:r>
      <w:r w:rsidRPr="000230E1">
        <w:rPr>
          <w:rFonts w:ascii="Arial" w:hAnsi="Arial" w:cs="Arial"/>
          <w:sz w:val="20"/>
          <w:szCs w:val="20"/>
        </w:rPr>
        <w:t>. This</w:t>
      </w:r>
      <w:r w:rsidR="002471FA" w:rsidRPr="000230E1">
        <w:rPr>
          <w:rFonts w:ascii="Arial" w:hAnsi="Arial" w:cs="Arial"/>
          <w:sz w:val="20"/>
          <w:szCs w:val="20"/>
        </w:rPr>
        <w:t xml:space="preserve"> suggest</w:t>
      </w:r>
      <w:r w:rsidRPr="000230E1">
        <w:rPr>
          <w:rFonts w:ascii="Arial" w:hAnsi="Arial" w:cs="Arial"/>
          <w:sz w:val="20"/>
          <w:szCs w:val="20"/>
        </w:rPr>
        <w:t xml:space="preserve">s that there was room for improvement in how </w:t>
      </w:r>
      <w:r w:rsidR="002471FA" w:rsidRPr="000230E1">
        <w:rPr>
          <w:rFonts w:ascii="Arial" w:hAnsi="Arial" w:cs="Arial"/>
          <w:sz w:val="20"/>
          <w:szCs w:val="20"/>
        </w:rPr>
        <w:t>providers co</w:t>
      </w:r>
      <w:r w:rsidRPr="000230E1">
        <w:rPr>
          <w:rFonts w:ascii="Arial" w:hAnsi="Arial" w:cs="Arial"/>
          <w:sz w:val="20"/>
          <w:szCs w:val="20"/>
        </w:rPr>
        <w:t xml:space="preserve">ntact their policyholders. Numerical data such as tables of numbers should be adequately explained. The policyholders of one provider expressed a preference for these </w:t>
      </w:r>
      <w:r w:rsidR="00C14DF1" w:rsidRPr="000230E1">
        <w:rPr>
          <w:rFonts w:ascii="Arial" w:hAnsi="Arial" w:cs="Arial"/>
          <w:sz w:val="20"/>
          <w:szCs w:val="20"/>
        </w:rPr>
        <w:t>additional explanations</w:t>
      </w:r>
      <w:r w:rsidR="00C63C25" w:rsidRPr="000230E1">
        <w:rPr>
          <w:rFonts w:ascii="Arial" w:hAnsi="Arial" w:cs="Arial"/>
          <w:sz w:val="20"/>
          <w:szCs w:val="20"/>
        </w:rPr>
        <w:t xml:space="preserve"> </w:t>
      </w:r>
      <w:r w:rsidRPr="000230E1">
        <w:rPr>
          <w:rFonts w:ascii="Arial" w:hAnsi="Arial" w:cs="Arial"/>
          <w:sz w:val="20"/>
          <w:szCs w:val="20"/>
        </w:rPr>
        <w:t xml:space="preserve">to appear </w:t>
      </w:r>
      <w:r w:rsidR="00CB41DC" w:rsidRPr="000230E1">
        <w:rPr>
          <w:rFonts w:ascii="Arial" w:hAnsi="Arial" w:cs="Arial"/>
          <w:sz w:val="20"/>
          <w:szCs w:val="20"/>
        </w:rPr>
        <w:t>with</w:t>
      </w:r>
      <w:r w:rsidR="00C14DF1" w:rsidRPr="000230E1">
        <w:rPr>
          <w:rFonts w:ascii="Arial" w:hAnsi="Arial" w:cs="Arial"/>
          <w:sz w:val="20"/>
          <w:szCs w:val="20"/>
        </w:rPr>
        <w:t xml:space="preserve">in </w:t>
      </w:r>
      <w:r w:rsidRPr="000230E1">
        <w:rPr>
          <w:rFonts w:ascii="Arial" w:hAnsi="Arial" w:cs="Arial"/>
          <w:sz w:val="20"/>
          <w:szCs w:val="20"/>
        </w:rPr>
        <w:t xml:space="preserve">the margins of the </w:t>
      </w:r>
      <w:r w:rsidR="00C14DF1" w:rsidRPr="000230E1">
        <w:rPr>
          <w:rFonts w:ascii="Arial" w:hAnsi="Arial" w:cs="Arial"/>
          <w:sz w:val="20"/>
          <w:szCs w:val="20"/>
        </w:rPr>
        <w:t xml:space="preserve">document. </w:t>
      </w:r>
    </w:p>
    <w:p w14:paraId="15C59906" w14:textId="77777777" w:rsidR="00762063" w:rsidRPr="000230E1" w:rsidRDefault="00762063" w:rsidP="000230E1">
      <w:pPr>
        <w:jc w:val="both"/>
        <w:rPr>
          <w:rFonts w:ascii="Arial" w:hAnsi="Arial" w:cs="Arial"/>
          <w:sz w:val="20"/>
          <w:szCs w:val="20"/>
        </w:rPr>
      </w:pPr>
      <w:r w:rsidRPr="000230E1">
        <w:rPr>
          <w:rFonts w:ascii="Arial" w:hAnsi="Arial" w:cs="Arial"/>
          <w:sz w:val="20"/>
          <w:szCs w:val="20"/>
        </w:rPr>
        <w:t xml:space="preserve">Consumers </w:t>
      </w:r>
      <w:r w:rsidR="00C14DF1" w:rsidRPr="000230E1">
        <w:rPr>
          <w:rFonts w:ascii="Arial" w:hAnsi="Arial" w:cs="Arial"/>
          <w:sz w:val="20"/>
          <w:szCs w:val="20"/>
        </w:rPr>
        <w:t>also expressed a preference for envelopes to include a company logo to signify its importance</w:t>
      </w:r>
      <w:r w:rsidR="00B96058" w:rsidRPr="000230E1">
        <w:rPr>
          <w:rFonts w:ascii="Arial" w:hAnsi="Arial" w:cs="Arial"/>
          <w:sz w:val="20"/>
          <w:szCs w:val="20"/>
        </w:rPr>
        <w:t xml:space="preserve"> and improve the likelihood of it being reviewed and filed away safely. Members of the working party noted that this is at odds with a trend to move towards plain envelopes as this makes the post less likely to be a target for identity fraud. However, some consumers identified plain envelopes as unlikely to contain any important information. Whilst </w:t>
      </w:r>
      <w:r w:rsidRPr="000230E1">
        <w:rPr>
          <w:rFonts w:ascii="Arial" w:hAnsi="Arial" w:cs="Arial"/>
          <w:sz w:val="20"/>
          <w:szCs w:val="20"/>
        </w:rPr>
        <w:t>glossy envelopes</w:t>
      </w:r>
      <w:r w:rsidR="00B96058" w:rsidRPr="000230E1">
        <w:rPr>
          <w:rFonts w:ascii="Arial" w:hAnsi="Arial" w:cs="Arial"/>
          <w:sz w:val="20"/>
          <w:szCs w:val="20"/>
        </w:rPr>
        <w:t xml:space="preserve"> were seen</w:t>
      </w:r>
      <w:r w:rsidRPr="000230E1">
        <w:rPr>
          <w:rFonts w:ascii="Arial" w:hAnsi="Arial" w:cs="Arial"/>
          <w:sz w:val="20"/>
          <w:szCs w:val="20"/>
        </w:rPr>
        <w:t xml:space="preserve"> </w:t>
      </w:r>
      <w:r w:rsidR="00C14DF1" w:rsidRPr="000230E1">
        <w:rPr>
          <w:rFonts w:ascii="Arial" w:hAnsi="Arial" w:cs="Arial"/>
          <w:sz w:val="20"/>
          <w:szCs w:val="20"/>
        </w:rPr>
        <w:t>as likely to con</w:t>
      </w:r>
      <w:r w:rsidRPr="000230E1">
        <w:rPr>
          <w:rFonts w:ascii="Arial" w:hAnsi="Arial" w:cs="Arial"/>
          <w:sz w:val="20"/>
          <w:szCs w:val="20"/>
        </w:rPr>
        <w:t xml:space="preserve">tain promotional </w:t>
      </w:r>
      <w:r w:rsidR="00C14DF1" w:rsidRPr="000230E1">
        <w:rPr>
          <w:rFonts w:ascii="Arial" w:hAnsi="Arial" w:cs="Arial"/>
          <w:sz w:val="20"/>
          <w:szCs w:val="20"/>
        </w:rPr>
        <w:t xml:space="preserve">or </w:t>
      </w:r>
      <w:r w:rsidRPr="000230E1">
        <w:rPr>
          <w:rFonts w:ascii="Arial" w:hAnsi="Arial" w:cs="Arial"/>
          <w:sz w:val="20"/>
          <w:szCs w:val="20"/>
        </w:rPr>
        <w:t>sales material</w:t>
      </w:r>
      <w:r w:rsidR="00B96058" w:rsidRPr="000230E1">
        <w:rPr>
          <w:rFonts w:ascii="Arial" w:hAnsi="Arial" w:cs="Arial"/>
          <w:sz w:val="20"/>
          <w:szCs w:val="20"/>
        </w:rPr>
        <w:t xml:space="preserve">, resulting in many of these being binned without opening. </w:t>
      </w:r>
    </w:p>
    <w:p w14:paraId="588C26F0" w14:textId="77777777" w:rsidR="00762063" w:rsidRPr="000230E1" w:rsidRDefault="00762063" w:rsidP="000230E1">
      <w:pPr>
        <w:jc w:val="both"/>
        <w:rPr>
          <w:rFonts w:ascii="Arial" w:hAnsi="Arial" w:cs="Arial"/>
          <w:sz w:val="20"/>
          <w:szCs w:val="20"/>
        </w:rPr>
      </w:pPr>
      <w:r w:rsidRPr="000230E1">
        <w:rPr>
          <w:rFonts w:ascii="Arial" w:hAnsi="Arial" w:cs="Arial"/>
          <w:sz w:val="20"/>
          <w:szCs w:val="20"/>
        </w:rPr>
        <w:t xml:space="preserve">The absence of any policy specific details </w:t>
      </w:r>
      <w:r w:rsidR="00E77373" w:rsidRPr="000230E1">
        <w:rPr>
          <w:rFonts w:ascii="Arial" w:hAnsi="Arial" w:cs="Arial"/>
          <w:sz w:val="20"/>
          <w:szCs w:val="20"/>
        </w:rPr>
        <w:t xml:space="preserve">can </w:t>
      </w:r>
      <w:r w:rsidRPr="000230E1">
        <w:rPr>
          <w:rFonts w:ascii="Arial" w:hAnsi="Arial" w:cs="Arial"/>
          <w:sz w:val="20"/>
          <w:szCs w:val="20"/>
        </w:rPr>
        <w:t>have the effect of making communications appear impersonal. The current value o</w:t>
      </w:r>
      <w:r w:rsidR="002471FA" w:rsidRPr="000230E1">
        <w:rPr>
          <w:rFonts w:ascii="Arial" w:hAnsi="Arial" w:cs="Arial"/>
          <w:sz w:val="20"/>
          <w:szCs w:val="20"/>
        </w:rPr>
        <w:t>f a policy should be prominent</w:t>
      </w:r>
      <w:r w:rsidRPr="000230E1">
        <w:rPr>
          <w:rFonts w:ascii="Arial" w:hAnsi="Arial" w:cs="Arial"/>
          <w:sz w:val="20"/>
          <w:szCs w:val="20"/>
        </w:rPr>
        <w:t xml:space="preserve">, with supplementary information to </w:t>
      </w:r>
      <w:r w:rsidR="00BE1F7F" w:rsidRPr="000230E1">
        <w:rPr>
          <w:rFonts w:ascii="Arial" w:hAnsi="Arial" w:cs="Arial"/>
          <w:sz w:val="20"/>
          <w:szCs w:val="20"/>
        </w:rPr>
        <w:t>follow;</w:t>
      </w:r>
      <w:r w:rsidRPr="000230E1">
        <w:rPr>
          <w:rFonts w:ascii="Arial" w:hAnsi="Arial" w:cs="Arial"/>
          <w:sz w:val="20"/>
          <w:szCs w:val="20"/>
        </w:rPr>
        <w:t xml:space="preserve"> this increases the chance of policyholders at least glancing over the remainder of the document. However, too much complexity in the presentation may serve to alienate consumers and risk the entire pack being ignored. Customers </w:t>
      </w:r>
      <w:r w:rsidR="002471FA" w:rsidRPr="000230E1">
        <w:rPr>
          <w:rFonts w:ascii="Arial" w:hAnsi="Arial" w:cs="Arial"/>
          <w:sz w:val="20"/>
          <w:szCs w:val="20"/>
        </w:rPr>
        <w:t>may</w:t>
      </w:r>
      <w:r w:rsidRPr="000230E1">
        <w:rPr>
          <w:rFonts w:ascii="Arial" w:hAnsi="Arial" w:cs="Arial"/>
          <w:sz w:val="20"/>
          <w:szCs w:val="20"/>
        </w:rPr>
        <w:t xml:space="preserve"> be innately distrustful of providers. </w:t>
      </w:r>
      <w:r w:rsidR="002471FA" w:rsidRPr="000230E1">
        <w:rPr>
          <w:rFonts w:ascii="Arial" w:hAnsi="Arial" w:cs="Arial"/>
          <w:sz w:val="20"/>
          <w:szCs w:val="20"/>
        </w:rPr>
        <w:t xml:space="preserve">In order to </w:t>
      </w:r>
      <w:r w:rsidRPr="000230E1">
        <w:rPr>
          <w:rFonts w:ascii="Arial" w:hAnsi="Arial" w:cs="Arial"/>
          <w:sz w:val="20"/>
          <w:szCs w:val="20"/>
        </w:rPr>
        <w:t xml:space="preserve">build trust transparency is encouraged, for </w:t>
      </w:r>
      <w:r w:rsidR="002471FA" w:rsidRPr="000230E1">
        <w:rPr>
          <w:rFonts w:ascii="Arial" w:hAnsi="Arial" w:cs="Arial"/>
          <w:sz w:val="20"/>
          <w:szCs w:val="20"/>
        </w:rPr>
        <w:t>example,</w:t>
      </w:r>
      <w:r w:rsidRPr="000230E1">
        <w:rPr>
          <w:rFonts w:ascii="Arial" w:hAnsi="Arial" w:cs="Arial"/>
          <w:sz w:val="20"/>
          <w:szCs w:val="20"/>
        </w:rPr>
        <w:t xml:space="preserve"> charges and taxation should be explicitly mentioned. </w:t>
      </w:r>
      <w:r w:rsidR="00E77373" w:rsidRPr="000230E1">
        <w:rPr>
          <w:rFonts w:ascii="Arial" w:hAnsi="Arial" w:cs="Arial"/>
          <w:sz w:val="20"/>
          <w:szCs w:val="20"/>
        </w:rPr>
        <w:t>The working party’s own consideration of these themes are considered further in section 4.</w:t>
      </w:r>
    </w:p>
    <w:p w14:paraId="13BEA207" w14:textId="77777777" w:rsidR="00E77373" w:rsidRPr="000230E1" w:rsidRDefault="00762063" w:rsidP="000230E1">
      <w:pPr>
        <w:jc w:val="both"/>
        <w:rPr>
          <w:rFonts w:ascii="Arial" w:hAnsi="Arial" w:cs="Arial"/>
          <w:sz w:val="20"/>
          <w:szCs w:val="20"/>
        </w:rPr>
      </w:pPr>
      <w:r w:rsidRPr="000230E1">
        <w:rPr>
          <w:rFonts w:ascii="Arial" w:hAnsi="Arial" w:cs="Arial"/>
          <w:sz w:val="20"/>
          <w:szCs w:val="20"/>
        </w:rPr>
        <w:t xml:space="preserve">In terms of understanding of their actual policies, the most common reason for consumers choosing a with-profits policy was upon receiving advice. </w:t>
      </w:r>
      <w:r w:rsidR="000F4212" w:rsidRPr="000230E1">
        <w:rPr>
          <w:rFonts w:ascii="Arial" w:hAnsi="Arial" w:cs="Arial"/>
          <w:sz w:val="20"/>
          <w:szCs w:val="20"/>
        </w:rPr>
        <w:t xml:space="preserve">Some consumers view with-profits as being a ‘safer’ way to invest in risky assets. </w:t>
      </w:r>
      <w:r w:rsidRPr="000230E1">
        <w:rPr>
          <w:rFonts w:ascii="Arial" w:hAnsi="Arial" w:cs="Arial"/>
          <w:sz w:val="20"/>
          <w:szCs w:val="20"/>
        </w:rPr>
        <w:t xml:space="preserve">However, the </w:t>
      </w:r>
      <w:r w:rsidRPr="000230E1">
        <w:rPr>
          <w:rFonts w:ascii="Arial" w:hAnsi="Arial" w:cs="Arial"/>
          <w:bCs/>
          <w:sz w:val="20"/>
          <w:szCs w:val="20"/>
        </w:rPr>
        <w:t>majority</w:t>
      </w:r>
      <w:r w:rsidRPr="000230E1">
        <w:rPr>
          <w:rFonts w:ascii="Arial" w:hAnsi="Arial" w:cs="Arial"/>
          <w:sz w:val="20"/>
          <w:szCs w:val="20"/>
        </w:rPr>
        <w:t xml:space="preserve"> of consumers surveyed </w:t>
      </w:r>
      <w:r w:rsidR="00E77373" w:rsidRPr="000230E1">
        <w:rPr>
          <w:rFonts w:ascii="Arial" w:hAnsi="Arial" w:cs="Arial"/>
          <w:sz w:val="20"/>
          <w:szCs w:val="20"/>
        </w:rPr>
        <w:t xml:space="preserve">by providers </w:t>
      </w:r>
      <w:r w:rsidRPr="000230E1">
        <w:rPr>
          <w:rFonts w:ascii="Arial" w:hAnsi="Arial" w:cs="Arial"/>
          <w:sz w:val="20"/>
          <w:szCs w:val="20"/>
        </w:rPr>
        <w:t>were unable to articulate the features, benefits or drawbacks of a with-profits policy</w:t>
      </w:r>
      <w:r w:rsidR="00E77373" w:rsidRPr="000230E1">
        <w:rPr>
          <w:rFonts w:ascii="Arial" w:hAnsi="Arial" w:cs="Arial"/>
          <w:sz w:val="20"/>
          <w:szCs w:val="20"/>
        </w:rPr>
        <w:t>. This</w:t>
      </w:r>
      <w:r w:rsidRPr="000230E1">
        <w:rPr>
          <w:rFonts w:ascii="Arial" w:hAnsi="Arial" w:cs="Arial"/>
          <w:sz w:val="20"/>
          <w:szCs w:val="20"/>
        </w:rPr>
        <w:t xml:space="preserve"> highlight</w:t>
      </w:r>
      <w:r w:rsidR="00E77373" w:rsidRPr="000230E1">
        <w:rPr>
          <w:rFonts w:ascii="Arial" w:hAnsi="Arial" w:cs="Arial"/>
          <w:sz w:val="20"/>
          <w:szCs w:val="20"/>
        </w:rPr>
        <w:t>s</w:t>
      </w:r>
      <w:r w:rsidRPr="000230E1">
        <w:rPr>
          <w:rFonts w:ascii="Arial" w:hAnsi="Arial" w:cs="Arial"/>
          <w:sz w:val="20"/>
          <w:szCs w:val="20"/>
        </w:rPr>
        <w:t xml:space="preserve"> the</w:t>
      </w:r>
      <w:r w:rsidR="00E77373" w:rsidRPr="000230E1">
        <w:rPr>
          <w:rFonts w:ascii="Arial" w:hAnsi="Arial" w:cs="Arial"/>
          <w:sz w:val="20"/>
          <w:szCs w:val="20"/>
        </w:rPr>
        <w:t>ir</w:t>
      </w:r>
      <w:r w:rsidRPr="000230E1">
        <w:rPr>
          <w:rFonts w:ascii="Arial" w:hAnsi="Arial" w:cs="Arial"/>
          <w:sz w:val="20"/>
          <w:szCs w:val="20"/>
        </w:rPr>
        <w:t xml:space="preserve"> heavy reliance on </w:t>
      </w:r>
      <w:r w:rsidR="00E77373" w:rsidRPr="000230E1">
        <w:rPr>
          <w:rFonts w:ascii="Arial" w:hAnsi="Arial" w:cs="Arial"/>
          <w:sz w:val="20"/>
          <w:szCs w:val="20"/>
        </w:rPr>
        <w:t xml:space="preserve">financial advice to make decisions. </w:t>
      </w:r>
      <w:r w:rsidR="00BE1F7F" w:rsidRPr="000230E1">
        <w:rPr>
          <w:rFonts w:ascii="Arial" w:hAnsi="Arial" w:cs="Arial"/>
          <w:sz w:val="20"/>
          <w:szCs w:val="20"/>
        </w:rPr>
        <w:t xml:space="preserve">Consumers </w:t>
      </w:r>
      <w:r w:rsidR="00E77373" w:rsidRPr="000230E1">
        <w:rPr>
          <w:rFonts w:ascii="Arial" w:hAnsi="Arial" w:cs="Arial"/>
          <w:sz w:val="20"/>
          <w:szCs w:val="20"/>
        </w:rPr>
        <w:t xml:space="preserve">were considered to </w:t>
      </w:r>
      <w:r w:rsidR="00BE1F7F" w:rsidRPr="000230E1">
        <w:rPr>
          <w:rFonts w:ascii="Arial" w:hAnsi="Arial" w:cs="Arial"/>
          <w:sz w:val="20"/>
          <w:szCs w:val="20"/>
        </w:rPr>
        <w:t xml:space="preserve">have limited </w:t>
      </w:r>
      <w:r w:rsidRPr="000230E1">
        <w:rPr>
          <w:rFonts w:ascii="Arial" w:hAnsi="Arial" w:cs="Arial"/>
          <w:iCs/>
          <w:sz w:val="20"/>
          <w:szCs w:val="20"/>
        </w:rPr>
        <w:t>understanding of the</w:t>
      </w:r>
      <w:r w:rsidR="00BE1F7F" w:rsidRPr="000230E1">
        <w:rPr>
          <w:rFonts w:ascii="Arial" w:hAnsi="Arial" w:cs="Arial"/>
          <w:iCs/>
          <w:sz w:val="20"/>
          <w:szCs w:val="20"/>
        </w:rPr>
        <w:t>ir with-profits</w:t>
      </w:r>
      <w:r w:rsidRPr="000230E1">
        <w:rPr>
          <w:rFonts w:ascii="Arial" w:hAnsi="Arial" w:cs="Arial"/>
          <w:iCs/>
          <w:sz w:val="20"/>
          <w:szCs w:val="20"/>
        </w:rPr>
        <w:t xml:space="preserve"> p</w:t>
      </w:r>
      <w:r w:rsidR="00BE1F7F" w:rsidRPr="000230E1">
        <w:rPr>
          <w:rFonts w:ascii="Arial" w:hAnsi="Arial" w:cs="Arial"/>
          <w:iCs/>
          <w:sz w:val="20"/>
          <w:szCs w:val="20"/>
        </w:rPr>
        <w:t>olicy</w:t>
      </w:r>
      <w:r w:rsidRPr="000230E1">
        <w:rPr>
          <w:rFonts w:ascii="Arial" w:hAnsi="Arial" w:cs="Arial"/>
          <w:iCs/>
          <w:sz w:val="20"/>
          <w:szCs w:val="20"/>
        </w:rPr>
        <w:t xml:space="preserve"> and reliance </w:t>
      </w:r>
      <w:r w:rsidR="00BE1F7F" w:rsidRPr="000230E1">
        <w:rPr>
          <w:rFonts w:ascii="Arial" w:hAnsi="Arial" w:cs="Arial"/>
          <w:iCs/>
          <w:sz w:val="20"/>
          <w:szCs w:val="20"/>
        </w:rPr>
        <w:t xml:space="preserve">is </w:t>
      </w:r>
      <w:r w:rsidRPr="000230E1">
        <w:rPr>
          <w:rFonts w:ascii="Arial" w:hAnsi="Arial" w:cs="Arial"/>
          <w:iCs/>
          <w:sz w:val="20"/>
          <w:szCs w:val="20"/>
        </w:rPr>
        <w:t xml:space="preserve">put on the </w:t>
      </w:r>
      <w:r w:rsidR="00BE1F7F" w:rsidRPr="000230E1">
        <w:rPr>
          <w:rFonts w:ascii="Arial" w:hAnsi="Arial" w:cs="Arial"/>
          <w:iCs/>
          <w:sz w:val="20"/>
          <w:szCs w:val="20"/>
        </w:rPr>
        <w:t xml:space="preserve">appropriateness of </w:t>
      </w:r>
      <w:r w:rsidRPr="000230E1">
        <w:rPr>
          <w:rFonts w:ascii="Arial" w:hAnsi="Arial" w:cs="Arial"/>
          <w:iCs/>
          <w:sz w:val="20"/>
          <w:szCs w:val="20"/>
        </w:rPr>
        <w:t xml:space="preserve">advice </w:t>
      </w:r>
      <w:r w:rsidR="00BE1F7F" w:rsidRPr="000230E1">
        <w:rPr>
          <w:rFonts w:ascii="Arial" w:hAnsi="Arial" w:cs="Arial"/>
          <w:iCs/>
          <w:sz w:val="20"/>
          <w:szCs w:val="20"/>
        </w:rPr>
        <w:t>received</w:t>
      </w:r>
      <w:r w:rsidR="002471FA" w:rsidRPr="000230E1">
        <w:rPr>
          <w:rFonts w:ascii="Arial" w:hAnsi="Arial" w:cs="Arial"/>
          <w:iCs/>
          <w:sz w:val="20"/>
          <w:szCs w:val="20"/>
        </w:rPr>
        <w:t xml:space="preserve"> </w:t>
      </w:r>
      <w:r w:rsidR="00BE1F7F" w:rsidRPr="000230E1">
        <w:rPr>
          <w:rFonts w:ascii="Arial" w:hAnsi="Arial" w:cs="Arial"/>
          <w:iCs/>
          <w:sz w:val="20"/>
          <w:szCs w:val="20"/>
        </w:rPr>
        <w:t xml:space="preserve">from </w:t>
      </w:r>
      <w:r w:rsidRPr="000230E1">
        <w:rPr>
          <w:rFonts w:ascii="Arial" w:hAnsi="Arial" w:cs="Arial"/>
          <w:iCs/>
          <w:sz w:val="20"/>
          <w:szCs w:val="20"/>
        </w:rPr>
        <w:t xml:space="preserve">the </w:t>
      </w:r>
      <w:r w:rsidR="00BE1F7F" w:rsidRPr="000230E1">
        <w:rPr>
          <w:rFonts w:ascii="Arial" w:hAnsi="Arial" w:cs="Arial"/>
          <w:iCs/>
          <w:sz w:val="20"/>
          <w:szCs w:val="20"/>
        </w:rPr>
        <w:t>financial advisor.</w:t>
      </w:r>
      <w:r w:rsidRPr="000230E1">
        <w:rPr>
          <w:rFonts w:ascii="Arial" w:hAnsi="Arial" w:cs="Arial"/>
          <w:iCs/>
          <w:sz w:val="20"/>
          <w:szCs w:val="20"/>
        </w:rPr>
        <w:t xml:space="preserve"> </w:t>
      </w:r>
      <w:r w:rsidR="002471FA" w:rsidRPr="000230E1">
        <w:rPr>
          <w:rFonts w:ascii="Arial" w:hAnsi="Arial" w:cs="Arial"/>
          <w:iCs/>
          <w:sz w:val="20"/>
          <w:szCs w:val="20"/>
        </w:rPr>
        <w:t xml:space="preserve">Providers should consider to what extent a lack of consumer understanding </w:t>
      </w:r>
      <w:r w:rsidR="00BE1F7F" w:rsidRPr="000230E1">
        <w:rPr>
          <w:rFonts w:ascii="Arial" w:hAnsi="Arial" w:cs="Arial"/>
          <w:iCs/>
          <w:sz w:val="20"/>
          <w:szCs w:val="20"/>
        </w:rPr>
        <w:t>should</w:t>
      </w:r>
      <w:r w:rsidRPr="000230E1">
        <w:rPr>
          <w:rFonts w:ascii="Arial" w:hAnsi="Arial" w:cs="Arial"/>
          <w:iCs/>
          <w:sz w:val="20"/>
          <w:szCs w:val="20"/>
        </w:rPr>
        <w:t xml:space="preserve"> be a concern</w:t>
      </w:r>
      <w:r w:rsidR="002471FA" w:rsidRPr="000230E1">
        <w:rPr>
          <w:rFonts w:ascii="Arial" w:hAnsi="Arial" w:cs="Arial"/>
          <w:iCs/>
          <w:sz w:val="20"/>
          <w:szCs w:val="20"/>
        </w:rPr>
        <w:t>. C</w:t>
      </w:r>
      <w:r w:rsidR="00BE1F7F" w:rsidRPr="000230E1">
        <w:rPr>
          <w:rFonts w:ascii="Arial" w:hAnsi="Arial" w:cs="Arial"/>
          <w:iCs/>
          <w:sz w:val="20"/>
          <w:szCs w:val="20"/>
        </w:rPr>
        <w:t xml:space="preserve">omfort </w:t>
      </w:r>
      <w:r w:rsidR="002471FA" w:rsidRPr="000230E1">
        <w:rPr>
          <w:rFonts w:ascii="Arial" w:hAnsi="Arial" w:cs="Arial"/>
          <w:iCs/>
          <w:sz w:val="20"/>
          <w:szCs w:val="20"/>
        </w:rPr>
        <w:t xml:space="preserve">may </w:t>
      </w:r>
      <w:r w:rsidR="00BE1F7F" w:rsidRPr="000230E1">
        <w:rPr>
          <w:rFonts w:ascii="Arial" w:hAnsi="Arial" w:cs="Arial"/>
          <w:iCs/>
          <w:sz w:val="20"/>
          <w:szCs w:val="20"/>
        </w:rPr>
        <w:t xml:space="preserve">be sought from the </w:t>
      </w:r>
      <w:r w:rsidRPr="000230E1">
        <w:rPr>
          <w:rFonts w:ascii="Arial" w:hAnsi="Arial" w:cs="Arial"/>
          <w:iCs/>
          <w:sz w:val="20"/>
          <w:szCs w:val="20"/>
        </w:rPr>
        <w:t xml:space="preserve">level of governance around with profit policies </w:t>
      </w:r>
      <w:r w:rsidR="00BE1F7F" w:rsidRPr="000230E1">
        <w:rPr>
          <w:rFonts w:ascii="Arial" w:hAnsi="Arial" w:cs="Arial"/>
          <w:iCs/>
          <w:sz w:val="20"/>
          <w:szCs w:val="20"/>
        </w:rPr>
        <w:t>(</w:t>
      </w:r>
      <w:r w:rsidRPr="000230E1">
        <w:rPr>
          <w:rFonts w:ascii="Arial" w:hAnsi="Arial" w:cs="Arial"/>
          <w:iCs/>
          <w:sz w:val="20"/>
          <w:szCs w:val="20"/>
        </w:rPr>
        <w:t>with</w:t>
      </w:r>
      <w:r w:rsidR="00BE1F7F" w:rsidRPr="000230E1">
        <w:rPr>
          <w:rFonts w:ascii="Arial" w:hAnsi="Arial" w:cs="Arial"/>
          <w:iCs/>
          <w:sz w:val="20"/>
          <w:szCs w:val="20"/>
        </w:rPr>
        <w:t>-</w:t>
      </w:r>
      <w:r w:rsidRPr="000230E1">
        <w:rPr>
          <w:rFonts w:ascii="Arial" w:hAnsi="Arial" w:cs="Arial"/>
          <w:iCs/>
          <w:sz w:val="20"/>
          <w:szCs w:val="20"/>
        </w:rPr>
        <w:t>profits actuary, with profits committee</w:t>
      </w:r>
      <w:r w:rsidR="00BE1F7F" w:rsidRPr="000230E1">
        <w:rPr>
          <w:rFonts w:ascii="Arial" w:hAnsi="Arial" w:cs="Arial"/>
          <w:iCs/>
          <w:sz w:val="20"/>
          <w:szCs w:val="20"/>
        </w:rPr>
        <w:t xml:space="preserve">s, etc.) </w:t>
      </w:r>
      <w:r w:rsidR="002471FA" w:rsidRPr="000230E1">
        <w:rPr>
          <w:rFonts w:ascii="Arial" w:hAnsi="Arial" w:cs="Arial"/>
          <w:iCs/>
          <w:sz w:val="20"/>
          <w:szCs w:val="20"/>
        </w:rPr>
        <w:t>to the extent that consumers value this.</w:t>
      </w:r>
      <w:r w:rsidR="00BE1F7F" w:rsidRPr="000230E1">
        <w:rPr>
          <w:rFonts w:ascii="Arial" w:hAnsi="Arial" w:cs="Arial"/>
          <w:iCs/>
          <w:sz w:val="20"/>
          <w:szCs w:val="20"/>
        </w:rPr>
        <w:t xml:space="preserve"> D</w:t>
      </w:r>
      <w:r w:rsidRPr="000230E1">
        <w:rPr>
          <w:rFonts w:ascii="Arial" w:hAnsi="Arial" w:cs="Arial"/>
          <w:sz w:val="20"/>
          <w:szCs w:val="20"/>
        </w:rPr>
        <w:t xml:space="preserve">espite the lack of understanding or appreciation of the inner workings of their policy, </w:t>
      </w:r>
      <w:r w:rsidR="00C63C25" w:rsidRPr="000230E1">
        <w:rPr>
          <w:rFonts w:ascii="Arial" w:hAnsi="Arial" w:cs="Arial"/>
          <w:sz w:val="20"/>
          <w:szCs w:val="20"/>
        </w:rPr>
        <w:t xml:space="preserve">one </w:t>
      </w:r>
      <w:r w:rsidR="004B36D2" w:rsidRPr="000230E1">
        <w:rPr>
          <w:rFonts w:ascii="Arial" w:hAnsi="Arial" w:cs="Arial"/>
          <w:sz w:val="20"/>
          <w:szCs w:val="20"/>
        </w:rPr>
        <w:t>company’s research</w:t>
      </w:r>
      <w:r w:rsidR="00C63C25" w:rsidRPr="000230E1">
        <w:rPr>
          <w:rFonts w:ascii="Arial" w:hAnsi="Arial" w:cs="Arial"/>
          <w:sz w:val="20"/>
          <w:szCs w:val="20"/>
        </w:rPr>
        <w:t xml:space="preserve"> highlighted </w:t>
      </w:r>
      <w:r w:rsidRPr="000230E1">
        <w:rPr>
          <w:rFonts w:ascii="Arial" w:hAnsi="Arial" w:cs="Arial"/>
          <w:sz w:val="20"/>
          <w:szCs w:val="20"/>
        </w:rPr>
        <w:t xml:space="preserve">the majority of </w:t>
      </w:r>
      <w:r w:rsidR="00C63C25" w:rsidRPr="000230E1">
        <w:rPr>
          <w:rFonts w:ascii="Arial" w:hAnsi="Arial" w:cs="Arial"/>
          <w:sz w:val="20"/>
          <w:szCs w:val="20"/>
        </w:rPr>
        <w:t xml:space="preserve">their </w:t>
      </w:r>
      <w:r w:rsidRPr="000230E1">
        <w:rPr>
          <w:rFonts w:ascii="Arial" w:hAnsi="Arial" w:cs="Arial"/>
          <w:sz w:val="20"/>
          <w:szCs w:val="20"/>
        </w:rPr>
        <w:t>consumers</w:t>
      </w:r>
      <w:r w:rsidR="00C63C25" w:rsidRPr="000230E1">
        <w:rPr>
          <w:rFonts w:ascii="Arial" w:hAnsi="Arial" w:cs="Arial"/>
          <w:sz w:val="20"/>
          <w:szCs w:val="20"/>
        </w:rPr>
        <w:t xml:space="preserve"> still</w:t>
      </w:r>
      <w:r w:rsidRPr="000230E1">
        <w:rPr>
          <w:rFonts w:ascii="Arial" w:hAnsi="Arial" w:cs="Arial"/>
          <w:sz w:val="20"/>
          <w:szCs w:val="20"/>
        </w:rPr>
        <w:t xml:space="preserve"> intend to hold onto their policy until maturity </w:t>
      </w:r>
      <w:r w:rsidR="00BE1F7F" w:rsidRPr="000230E1">
        <w:rPr>
          <w:rFonts w:ascii="Arial" w:hAnsi="Arial" w:cs="Arial"/>
          <w:sz w:val="20"/>
          <w:szCs w:val="20"/>
        </w:rPr>
        <w:t>or</w:t>
      </w:r>
      <w:r w:rsidRPr="000230E1">
        <w:rPr>
          <w:rFonts w:ascii="Arial" w:hAnsi="Arial" w:cs="Arial"/>
          <w:sz w:val="20"/>
          <w:szCs w:val="20"/>
        </w:rPr>
        <w:t xml:space="preserve"> retirement.</w:t>
      </w:r>
      <w:r w:rsidR="00C63C25" w:rsidRPr="000230E1">
        <w:rPr>
          <w:rFonts w:ascii="Arial" w:hAnsi="Arial" w:cs="Arial"/>
          <w:sz w:val="20"/>
          <w:szCs w:val="20"/>
        </w:rPr>
        <w:t xml:space="preserve"> </w:t>
      </w:r>
      <w:r w:rsidRPr="000230E1">
        <w:rPr>
          <w:rFonts w:ascii="Arial" w:hAnsi="Arial" w:cs="Arial"/>
          <w:sz w:val="20"/>
          <w:szCs w:val="20"/>
        </w:rPr>
        <w:t xml:space="preserve">Consumers typically lack a full understanding of with-profits policies’ key features, such as guarantees or the exercise of discretion. Indeed, </w:t>
      </w:r>
      <w:r w:rsidR="00E77373" w:rsidRPr="000230E1">
        <w:rPr>
          <w:rFonts w:ascii="Arial" w:hAnsi="Arial" w:cs="Arial"/>
          <w:sz w:val="20"/>
          <w:szCs w:val="20"/>
        </w:rPr>
        <w:t xml:space="preserve">the </w:t>
      </w:r>
      <w:r w:rsidRPr="000230E1">
        <w:rPr>
          <w:rFonts w:ascii="Arial" w:hAnsi="Arial" w:cs="Arial"/>
          <w:sz w:val="20"/>
          <w:szCs w:val="20"/>
        </w:rPr>
        <w:t>understanding</w:t>
      </w:r>
      <w:r w:rsidR="00E77373" w:rsidRPr="000230E1">
        <w:rPr>
          <w:rFonts w:ascii="Arial" w:hAnsi="Arial" w:cs="Arial"/>
          <w:sz w:val="20"/>
          <w:szCs w:val="20"/>
        </w:rPr>
        <w:t xml:space="preserve"> of policy options</w:t>
      </w:r>
      <w:r w:rsidRPr="000230E1">
        <w:rPr>
          <w:rFonts w:ascii="Arial" w:hAnsi="Arial" w:cs="Arial"/>
          <w:sz w:val="20"/>
          <w:szCs w:val="20"/>
        </w:rPr>
        <w:t xml:space="preserve"> appears weaker amongst with-profits </w:t>
      </w:r>
      <w:r w:rsidR="002471FA" w:rsidRPr="000230E1">
        <w:rPr>
          <w:rFonts w:ascii="Arial" w:hAnsi="Arial" w:cs="Arial"/>
          <w:sz w:val="20"/>
          <w:szCs w:val="20"/>
        </w:rPr>
        <w:t>consumers</w:t>
      </w:r>
      <w:r w:rsidRPr="000230E1">
        <w:rPr>
          <w:rFonts w:ascii="Arial" w:hAnsi="Arial" w:cs="Arial"/>
          <w:sz w:val="20"/>
          <w:szCs w:val="20"/>
        </w:rPr>
        <w:t xml:space="preserve"> than </w:t>
      </w:r>
      <w:r w:rsidR="00E77373" w:rsidRPr="000230E1">
        <w:rPr>
          <w:rFonts w:ascii="Arial" w:hAnsi="Arial" w:cs="Arial"/>
          <w:sz w:val="20"/>
          <w:szCs w:val="20"/>
        </w:rPr>
        <w:t xml:space="preserve">for typical unit-linked </w:t>
      </w:r>
      <w:r w:rsidRPr="000230E1">
        <w:rPr>
          <w:rFonts w:ascii="Arial" w:hAnsi="Arial" w:cs="Arial"/>
          <w:sz w:val="20"/>
          <w:szCs w:val="20"/>
        </w:rPr>
        <w:t xml:space="preserve">pension consumers, </w:t>
      </w:r>
      <w:r w:rsidR="00E77373" w:rsidRPr="000230E1">
        <w:rPr>
          <w:rFonts w:ascii="Arial" w:hAnsi="Arial" w:cs="Arial"/>
          <w:sz w:val="20"/>
          <w:szCs w:val="20"/>
        </w:rPr>
        <w:t xml:space="preserve">such as the option to surrender or transfer the policy early. </w:t>
      </w:r>
    </w:p>
    <w:p w14:paraId="135A9C0B" w14:textId="77777777" w:rsidR="00762063" w:rsidRPr="000230E1" w:rsidRDefault="00762063" w:rsidP="000230E1">
      <w:pPr>
        <w:jc w:val="both"/>
        <w:rPr>
          <w:rFonts w:ascii="Arial" w:hAnsi="Arial" w:cs="Arial"/>
          <w:sz w:val="20"/>
          <w:szCs w:val="20"/>
        </w:rPr>
      </w:pPr>
      <w:r w:rsidRPr="000230E1">
        <w:rPr>
          <w:rFonts w:ascii="Arial" w:hAnsi="Arial" w:cs="Arial"/>
          <w:sz w:val="20"/>
          <w:szCs w:val="20"/>
        </w:rPr>
        <w:t xml:space="preserve">Where consumers do have some understanding of the key features of their product this leads to a greater appreciation of the value of their policy, resulting in increased premiums and consolidation of smaller funds, which benefits provider and consumer alike. However, </w:t>
      </w:r>
      <w:r w:rsidR="00E77373" w:rsidRPr="000230E1">
        <w:rPr>
          <w:rFonts w:ascii="Arial" w:hAnsi="Arial" w:cs="Arial"/>
          <w:sz w:val="20"/>
          <w:szCs w:val="20"/>
        </w:rPr>
        <w:t xml:space="preserve">one provider found a negative correlation between the </w:t>
      </w:r>
      <w:r w:rsidRPr="000230E1">
        <w:rPr>
          <w:rFonts w:ascii="Arial" w:hAnsi="Arial" w:cs="Arial"/>
          <w:sz w:val="20"/>
          <w:szCs w:val="20"/>
        </w:rPr>
        <w:t>financial sophisticat</w:t>
      </w:r>
      <w:r w:rsidR="00E77373" w:rsidRPr="000230E1">
        <w:rPr>
          <w:rFonts w:ascii="Arial" w:hAnsi="Arial" w:cs="Arial"/>
          <w:sz w:val="20"/>
          <w:szCs w:val="20"/>
        </w:rPr>
        <w:t xml:space="preserve">ion of </w:t>
      </w:r>
      <w:r w:rsidRPr="000230E1">
        <w:rPr>
          <w:rFonts w:ascii="Arial" w:hAnsi="Arial" w:cs="Arial"/>
          <w:sz w:val="20"/>
          <w:szCs w:val="20"/>
        </w:rPr>
        <w:t xml:space="preserve">consumers </w:t>
      </w:r>
      <w:r w:rsidR="00E77373" w:rsidRPr="000230E1">
        <w:rPr>
          <w:rFonts w:ascii="Arial" w:hAnsi="Arial" w:cs="Arial"/>
          <w:sz w:val="20"/>
          <w:szCs w:val="20"/>
        </w:rPr>
        <w:t xml:space="preserve">and their opinion of the quality of </w:t>
      </w:r>
      <w:r w:rsidRPr="000230E1">
        <w:rPr>
          <w:rFonts w:ascii="Arial" w:hAnsi="Arial" w:cs="Arial"/>
          <w:sz w:val="20"/>
          <w:szCs w:val="20"/>
        </w:rPr>
        <w:t>information provided</w:t>
      </w:r>
      <w:r w:rsidR="00E77373" w:rsidRPr="000230E1">
        <w:rPr>
          <w:rFonts w:ascii="Arial" w:hAnsi="Arial" w:cs="Arial"/>
          <w:sz w:val="20"/>
          <w:szCs w:val="20"/>
        </w:rPr>
        <w:t xml:space="preserve">. This </w:t>
      </w:r>
      <w:r w:rsidRPr="000230E1">
        <w:rPr>
          <w:rFonts w:ascii="Arial" w:hAnsi="Arial" w:cs="Arial"/>
          <w:sz w:val="20"/>
          <w:szCs w:val="20"/>
        </w:rPr>
        <w:t>may suggest</w:t>
      </w:r>
      <w:r w:rsidR="00E77373" w:rsidRPr="000230E1">
        <w:rPr>
          <w:rFonts w:ascii="Arial" w:hAnsi="Arial" w:cs="Arial"/>
          <w:sz w:val="20"/>
          <w:szCs w:val="20"/>
        </w:rPr>
        <w:t xml:space="preserve"> financially literate policyholders</w:t>
      </w:r>
      <w:r w:rsidRPr="000230E1">
        <w:rPr>
          <w:rFonts w:ascii="Arial" w:hAnsi="Arial" w:cs="Arial"/>
          <w:sz w:val="20"/>
          <w:szCs w:val="20"/>
        </w:rPr>
        <w:t xml:space="preserve"> have greater </w:t>
      </w:r>
      <w:r w:rsidR="00E77373" w:rsidRPr="000230E1">
        <w:rPr>
          <w:rFonts w:ascii="Arial" w:hAnsi="Arial" w:cs="Arial"/>
          <w:sz w:val="20"/>
          <w:szCs w:val="20"/>
        </w:rPr>
        <w:t>information needs</w:t>
      </w:r>
      <w:r w:rsidRPr="000230E1">
        <w:rPr>
          <w:rFonts w:ascii="Arial" w:hAnsi="Arial" w:cs="Arial"/>
          <w:sz w:val="20"/>
          <w:szCs w:val="20"/>
        </w:rPr>
        <w:t xml:space="preserve">, or </w:t>
      </w:r>
      <w:r w:rsidR="00E77373" w:rsidRPr="000230E1">
        <w:rPr>
          <w:rFonts w:ascii="Arial" w:hAnsi="Arial" w:cs="Arial"/>
          <w:sz w:val="20"/>
          <w:szCs w:val="20"/>
        </w:rPr>
        <w:t>possess</w:t>
      </w:r>
      <w:r w:rsidRPr="000230E1">
        <w:rPr>
          <w:rFonts w:ascii="Arial" w:hAnsi="Arial" w:cs="Arial"/>
          <w:sz w:val="20"/>
          <w:szCs w:val="20"/>
        </w:rPr>
        <w:t xml:space="preserve"> incorrect preconceptions </w:t>
      </w:r>
      <w:r w:rsidR="00E77373" w:rsidRPr="000230E1">
        <w:rPr>
          <w:rFonts w:ascii="Arial" w:hAnsi="Arial" w:cs="Arial"/>
          <w:sz w:val="20"/>
          <w:szCs w:val="20"/>
        </w:rPr>
        <w:t>that</w:t>
      </w:r>
      <w:r w:rsidRPr="000230E1">
        <w:rPr>
          <w:rFonts w:ascii="Arial" w:hAnsi="Arial" w:cs="Arial"/>
          <w:sz w:val="20"/>
          <w:szCs w:val="20"/>
        </w:rPr>
        <w:t xml:space="preserve"> </w:t>
      </w:r>
      <w:r w:rsidR="00E77373" w:rsidRPr="000230E1">
        <w:rPr>
          <w:rFonts w:ascii="Arial" w:hAnsi="Arial" w:cs="Arial"/>
          <w:sz w:val="20"/>
          <w:szCs w:val="20"/>
        </w:rPr>
        <w:t>are at odds with</w:t>
      </w:r>
      <w:r w:rsidRPr="000230E1">
        <w:rPr>
          <w:rFonts w:ascii="Arial" w:hAnsi="Arial" w:cs="Arial"/>
          <w:sz w:val="20"/>
          <w:szCs w:val="20"/>
        </w:rPr>
        <w:t xml:space="preserve"> </w:t>
      </w:r>
      <w:r w:rsidR="00E77373" w:rsidRPr="000230E1">
        <w:rPr>
          <w:rFonts w:ascii="Arial" w:hAnsi="Arial" w:cs="Arial"/>
          <w:sz w:val="20"/>
          <w:szCs w:val="20"/>
        </w:rPr>
        <w:t xml:space="preserve">what they receive. </w:t>
      </w:r>
    </w:p>
    <w:p w14:paraId="16212000" w14:textId="77777777" w:rsidR="000F4212" w:rsidRPr="000230E1" w:rsidRDefault="00E77373" w:rsidP="000230E1">
      <w:pPr>
        <w:jc w:val="both"/>
        <w:rPr>
          <w:rFonts w:ascii="Arial" w:hAnsi="Arial" w:cs="Arial"/>
          <w:sz w:val="20"/>
          <w:szCs w:val="20"/>
        </w:rPr>
      </w:pPr>
      <w:r w:rsidRPr="000230E1">
        <w:rPr>
          <w:rFonts w:ascii="Arial" w:hAnsi="Arial" w:cs="Arial"/>
          <w:sz w:val="20"/>
          <w:szCs w:val="20"/>
        </w:rPr>
        <w:t xml:space="preserve">Part of the challenge in communicating with policyholders is explaining how discretion will be exercised. Consumers polled by one provider </w:t>
      </w:r>
      <w:r w:rsidR="000F4212" w:rsidRPr="000230E1">
        <w:rPr>
          <w:rFonts w:ascii="Arial" w:hAnsi="Arial" w:cs="Arial"/>
          <w:sz w:val="20"/>
          <w:szCs w:val="20"/>
        </w:rPr>
        <w:t>considered r</w:t>
      </w:r>
      <w:r w:rsidR="00762063" w:rsidRPr="000230E1">
        <w:rPr>
          <w:rFonts w:ascii="Arial" w:hAnsi="Arial" w:cs="Arial"/>
          <w:sz w:val="20"/>
          <w:szCs w:val="20"/>
        </w:rPr>
        <w:t xml:space="preserve">educing the level of discretion or simplifying policy terms </w:t>
      </w:r>
      <w:r w:rsidR="000F4212" w:rsidRPr="000230E1">
        <w:rPr>
          <w:rFonts w:ascii="Arial" w:hAnsi="Arial" w:cs="Arial"/>
          <w:sz w:val="20"/>
          <w:szCs w:val="20"/>
        </w:rPr>
        <w:t>to</w:t>
      </w:r>
      <w:r w:rsidR="00762063" w:rsidRPr="000230E1">
        <w:rPr>
          <w:rFonts w:ascii="Arial" w:hAnsi="Arial" w:cs="Arial"/>
          <w:sz w:val="20"/>
          <w:szCs w:val="20"/>
        </w:rPr>
        <w:t xml:space="preserve"> make explanations easier and improve </w:t>
      </w:r>
      <w:r w:rsidR="000F4212" w:rsidRPr="000230E1">
        <w:rPr>
          <w:rFonts w:ascii="Arial" w:hAnsi="Arial" w:cs="Arial"/>
          <w:sz w:val="20"/>
          <w:szCs w:val="20"/>
        </w:rPr>
        <w:t xml:space="preserve">their </w:t>
      </w:r>
      <w:r w:rsidR="00762063" w:rsidRPr="000230E1">
        <w:rPr>
          <w:rFonts w:ascii="Arial" w:hAnsi="Arial" w:cs="Arial"/>
          <w:sz w:val="20"/>
          <w:szCs w:val="20"/>
        </w:rPr>
        <w:t xml:space="preserve">understanding. </w:t>
      </w:r>
    </w:p>
    <w:p w14:paraId="0FD556DA" w14:textId="77777777" w:rsidR="00762063" w:rsidRPr="000230E1" w:rsidRDefault="00BE1F7F" w:rsidP="000230E1">
      <w:pPr>
        <w:jc w:val="both"/>
        <w:rPr>
          <w:rFonts w:ascii="Arial" w:hAnsi="Arial" w:cs="Arial"/>
          <w:sz w:val="20"/>
          <w:szCs w:val="20"/>
        </w:rPr>
      </w:pPr>
      <w:r w:rsidRPr="000230E1">
        <w:rPr>
          <w:rFonts w:ascii="Arial" w:hAnsi="Arial" w:cs="Arial"/>
          <w:sz w:val="20"/>
          <w:szCs w:val="20"/>
        </w:rPr>
        <w:t>The regulation of with-profits disclosures has evolved greatly over recent years.</w:t>
      </w:r>
      <w:r w:rsidR="002471FA" w:rsidRPr="000230E1">
        <w:rPr>
          <w:rFonts w:ascii="Arial" w:hAnsi="Arial" w:cs="Arial"/>
          <w:sz w:val="20"/>
          <w:szCs w:val="20"/>
        </w:rPr>
        <w:t xml:space="preserve"> T</w:t>
      </w:r>
      <w:r w:rsidRPr="000230E1">
        <w:rPr>
          <w:rFonts w:ascii="Arial" w:hAnsi="Arial" w:cs="Arial"/>
          <w:sz w:val="20"/>
          <w:szCs w:val="20"/>
        </w:rPr>
        <w:t xml:space="preserve">he introduction of </w:t>
      </w:r>
      <w:r w:rsidR="002471FA" w:rsidRPr="000230E1">
        <w:rPr>
          <w:rFonts w:ascii="Arial" w:hAnsi="Arial" w:cs="Arial"/>
          <w:sz w:val="20"/>
          <w:szCs w:val="20"/>
        </w:rPr>
        <w:t xml:space="preserve">the Principles and Practices of Financial Management (PPFM) and Consumer Friendly PPFM (CFPPFM) </w:t>
      </w:r>
      <w:r w:rsidR="00225649" w:rsidRPr="000230E1">
        <w:rPr>
          <w:rFonts w:ascii="Arial" w:hAnsi="Arial" w:cs="Arial"/>
          <w:sz w:val="20"/>
          <w:szCs w:val="20"/>
        </w:rPr>
        <w:t>were ultimately</w:t>
      </w:r>
      <w:r w:rsidR="002471FA" w:rsidRPr="000230E1">
        <w:rPr>
          <w:rFonts w:ascii="Arial" w:hAnsi="Arial" w:cs="Arial"/>
          <w:sz w:val="20"/>
          <w:szCs w:val="20"/>
        </w:rPr>
        <w:t xml:space="preserve"> seen to be of little use to consumers with the majority having neither read nor received either of these documents, and those who have unlikely to gain much from doing so</w:t>
      </w:r>
      <w:r w:rsidR="00225649" w:rsidRPr="000230E1">
        <w:rPr>
          <w:rFonts w:ascii="Arial" w:hAnsi="Arial" w:cs="Arial"/>
          <w:sz w:val="20"/>
          <w:szCs w:val="20"/>
        </w:rPr>
        <w:t xml:space="preserve"> (O’Brien, 2011)</w:t>
      </w:r>
      <w:r w:rsidR="002471FA" w:rsidRPr="000230E1">
        <w:rPr>
          <w:rFonts w:ascii="Arial" w:hAnsi="Arial" w:cs="Arial"/>
          <w:sz w:val="20"/>
          <w:szCs w:val="20"/>
        </w:rPr>
        <w:t xml:space="preserve">. </w:t>
      </w:r>
      <w:r w:rsidR="00225649" w:rsidRPr="000230E1">
        <w:rPr>
          <w:rFonts w:ascii="Arial" w:hAnsi="Arial" w:cs="Arial"/>
          <w:sz w:val="20"/>
          <w:szCs w:val="20"/>
        </w:rPr>
        <w:t>D</w:t>
      </w:r>
      <w:r w:rsidRPr="000230E1">
        <w:rPr>
          <w:rFonts w:ascii="Arial" w:hAnsi="Arial" w:cs="Arial"/>
          <w:sz w:val="20"/>
          <w:szCs w:val="20"/>
        </w:rPr>
        <w:t xml:space="preserve">isclosure requirements </w:t>
      </w:r>
      <w:r w:rsidR="00225649" w:rsidRPr="000230E1">
        <w:rPr>
          <w:rFonts w:ascii="Arial" w:hAnsi="Arial" w:cs="Arial"/>
          <w:sz w:val="20"/>
          <w:szCs w:val="20"/>
        </w:rPr>
        <w:t xml:space="preserve">have since been identified as </w:t>
      </w:r>
      <w:r w:rsidRPr="000230E1">
        <w:rPr>
          <w:rFonts w:ascii="Arial" w:hAnsi="Arial" w:cs="Arial"/>
          <w:sz w:val="20"/>
          <w:szCs w:val="20"/>
        </w:rPr>
        <w:t xml:space="preserve">too prescriptive ultimately with the removal of </w:t>
      </w:r>
      <w:r w:rsidR="00225649" w:rsidRPr="000230E1">
        <w:rPr>
          <w:rFonts w:ascii="Arial" w:hAnsi="Arial" w:cs="Arial"/>
          <w:sz w:val="20"/>
          <w:szCs w:val="20"/>
        </w:rPr>
        <w:t>the</w:t>
      </w:r>
      <w:r w:rsidRPr="000230E1">
        <w:rPr>
          <w:rFonts w:ascii="Arial" w:hAnsi="Arial" w:cs="Arial"/>
          <w:sz w:val="20"/>
          <w:szCs w:val="20"/>
        </w:rPr>
        <w:t xml:space="preserve"> requirement to produce a CFPPFM with effect from November 2016. T</w:t>
      </w:r>
      <w:r w:rsidR="00762063" w:rsidRPr="000230E1">
        <w:rPr>
          <w:rFonts w:ascii="Arial" w:hAnsi="Arial" w:cs="Arial"/>
          <w:sz w:val="20"/>
          <w:szCs w:val="20"/>
        </w:rPr>
        <w:t xml:space="preserve">he </w:t>
      </w:r>
      <w:r w:rsidR="00225649" w:rsidRPr="000230E1">
        <w:rPr>
          <w:rFonts w:ascii="Arial" w:hAnsi="Arial" w:cs="Arial"/>
          <w:sz w:val="20"/>
          <w:szCs w:val="20"/>
        </w:rPr>
        <w:t xml:space="preserve">Financial Conduct Authority </w:t>
      </w:r>
      <w:r w:rsidR="00762063" w:rsidRPr="000230E1">
        <w:rPr>
          <w:rFonts w:ascii="Arial" w:hAnsi="Arial" w:cs="Arial"/>
          <w:sz w:val="20"/>
          <w:szCs w:val="20"/>
        </w:rPr>
        <w:t>encourag</w:t>
      </w:r>
      <w:r w:rsidRPr="000230E1">
        <w:rPr>
          <w:rFonts w:ascii="Arial" w:hAnsi="Arial" w:cs="Arial"/>
          <w:sz w:val="20"/>
          <w:szCs w:val="20"/>
        </w:rPr>
        <w:t>e</w:t>
      </w:r>
      <w:r w:rsidR="00762063" w:rsidRPr="000230E1">
        <w:rPr>
          <w:rFonts w:ascii="Arial" w:hAnsi="Arial" w:cs="Arial"/>
          <w:sz w:val="20"/>
          <w:szCs w:val="20"/>
        </w:rPr>
        <w:t xml:space="preserve"> life companies to consider customers’ specific information needs</w:t>
      </w:r>
      <w:r w:rsidRPr="000230E1">
        <w:rPr>
          <w:rFonts w:ascii="Arial" w:hAnsi="Arial" w:cs="Arial"/>
          <w:sz w:val="20"/>
          <w:szCs w:val="20"/>
        </w:rPr>
        <w:t xml:space="preserve"> when deciding how </w:t>
      </w:r>
      <w:r w:rsidR="00225649" w:rsidRPr="000230E1">
        <w:rPr>
          <w:rFonts w:ascii="Arial" w:hAnsi="Arial" w:cs="Arial"/>
          <w:sz w:val="20"/>
          <w:szCs w:val="20"/>
        </w:rPr>
        <w:t>best to</w:t>
      </w:r>
      <w:r w:rsidRPr="000230E1">
        <w:rPr>
          <w:rFonts w:ascii="Arial" w:hAnsi="Arial" w:cs="Arial"/>
          <w:sz w:val="20"/>
          <w:szCs w:val="20"/>
        </w:rPr>
        <w:t xml:space="preserve"> provide information to consumers</w:t>
      </w:r>
      <w:r w:rsidR="00762063" w:rsidRPr="000230E1">
        <w:rPr>
          <w:rFonts w:ascii="Arial" w:hAnsi="Arial" w:cs="Arial"/>
          <w:sz w:val="20"/>
          <w:szCs w:val="20"/>
        </w:rPr>
        <w:t xml:space="preserve">. </w:t>
      </w:r>
    </w:p>
    <w:p w14:paraId="06719B2D" w14:textId="77777777" w:rsidR="00762063" w:rsidRPr="000230E1" w:rsidRDefault="00762063" w:rsidP="000230E1">
      <w:pPr>
        <w:jc w:val="both"/>
        <w:rPr>
          <w:rFonts w:ascii="Arial" w:hAnsi="Arial" w:cs="Arial"/>
          <w:sz w:val="20"/>
          <w:szCs w:val="20"/>
        </w:rPr>
      </w:pPr>
      <w:r w:rsidRPr="000230E1">
        <w:rPr>
          <w:rFonts w:ascii="Arial" w:hAnsi="Arial" w:cs="Arial"/>
          <w:sz w:val="20"/>
          <w:szCs w:val="20"/>
        </w:rPr>
        <w:t>Digital communication is an up and coming area with the majority of consumers now referring to price comparison sites as part of financial decision making. The engagement of digital communication, however, can drive a generation gap with low market penetration amongst the older generation. It is also difficult to articulate the value of product specific options and guarantees on a basic comparison of products and so with-profits may appear relatively expensive compared to unit-linked or conventional non-profit alternatives.</w:t>
      </w:r>
    </w:p>
    <w:p w14:paraId="4F5AC6BE" w14:textId="77777777" w:rsidR="00762063" w:rsidRPr="000230E1" w:rsidRDefault="00762063" w:rsidP="000230E1">
      <w:pPr>
        <w:jc w:val="both"/>
        <w:rPr>
          <w:rFonts w:ascii="Arial" w:hAnsi="Arial" w:cs="Arial"/>
          <w:sz w:val="20"/>
          <w:szCs w:val="20"/>
        </w:rPr>
      </w:pPr>
      <w:r w:rsidRPr="000230E1">
        <w:rPr>
          <w:rFonts w:ascii="Arial" w:hAnsi="Arial" w:cs="Arial"/>
          <w:sz w:val="20"/>
          <w:szCs w:val="20"/>
        </w:rPr>
        <w:t xml:space="preserve">Consumers have little understanding of the implications of the run-off of with-profits funds or the likely conversion to non-profit. It may not be necessary to inform all </w:t>
      </w:r>
      <w:r w:rsidR="00225649" w:rsidRPr="000230E1">
        <w:rPr>
          <w:rFonts w:ascii="Arial" w:hAnsi="Arial" w:cs="Arial"/>
          <w:sz w:val="20"/>
          <w:szCs w:val="20"/>
        </w:rPr>
        <w:t>consumers,</w:t>
      </w:r>
      <w:r w:rsidRPr="000230E1">
        <w:rPr>
          <w:rFonts w:ascii="Arial" w:hAnsi="Arial" w:cs="Arial"/>
          <w:sz w:val="20"/>
          <w:szCs w:val="20"/>
        </w:rPr>
        <w:t xml:space="preserve"> for example policies that are paid-up or in the process of maturing. The lack of understanding present</w:t>
      </w:r>
      <w:r w:rsidR="00030681">
        <w:rPr>
          <w:rFonts w:ascii="Arial" w:hAnsi="Arial" w:cs="Arial"/>
          <w:sz w:val="20"/>
          <w:szCs w:val="20"/>
        </w:rPr>
        <w:t>s</w:t>
      </w:r>
      <w:r w:rsidRPr="000230E1">
        <w:rPr>
          <w:rFonts w:ascii="Arial" w:hAnsi="Arial" w:cs="Arial"/>
          <w:sz w:val="20"/>
          <w:szCs w:val="20"/>
        </w:rPr>
        <w:t xml:space="preserve"> a challenge to </w:t>
      </w:r>
      <w:r w:rsidR="00225649" w:rsidRPr="000230E1">
        <w:rPr>
          <w:rFonts w:ascii="Arial" w:hAnsi="Arial" w:cs="Arial"/>
          <w:sz w:val="20"/>
          <w:szCs w:val="20"/>
        </w:rPr>
        <w:t>consumer</w:t>
      </w:r>
      <w:r w:rsidRPr="000230E1">
        <w:rPr>
          <w:rFonts w:ascii="Arial" w:hAnsi="Arial" w:cs="Arial"/>
          <w:sz w:val="20"/>
          <w:szCs w:val="20"/>
        </w:rPr>
        <w:t xml:space="preserve"> </w:t>
      </w:r>
      <w:r w:rsidR="00225649" w:rsidRPr="000230E1">
        <w:rPr>
          <w:rFonts w:ascii="Arial" w:hAnsi="Arial" w:cs="Arial"/>
          <w:sz w:val="20"/>
          <w:szCs w:val="20"/>
        </w:rPr>
        <w:t xml:space="preserve">decision </w:t>
      </w:r>
      <w:r w:rsidRPr="000230E1">
        <w:rPr>
          <w:rFonts w:ascii="Arial" w:hAnsi="Arial" w:cs="Arial"/>
          <w:sz w:val="20"/>
          <w:szCs w:val="20"/>
        </w:rPr>
        <w:t xml:space="preserve">making. Conversions have </w:t>
      </w:r>
      <w:r w:rsidR="00225649" w:rsidRPr="000230E1">
        <w:rPr>
          <w:rFonts w:ascii="Arial" w:hAnsi="Arial" w:cs="Arial"/>
          <w:sz w:val="20"/>
          <w:szCs w:val="20"/>
        </w:rPr>
        <w:t>accelerated the run-off of some funds by triggering consumers to surrender the</w:t>
      </w:r>
      <w:r w:rsidRPr="000230E1">
        <w:rPr>
          <w:rFonts w:ascii="Arial" w:hAnsi="Arial" w:cs="Arial"/>
          <w:sz w:val="20"/>
          <w:szCs w:val="20"/>
        </w:rPr>
        <w:t>ir policies</w:t>
      </w:r>
      <w:r w:rsidR="00225649" w:rsidRPr="000230E1">
        <w:rPr>
          <w:rFonts w:ascii="Arial" w:hAnsi="Arial" w:cs="Arial"/>
          <w:sz w:val="20"/>
          <w:szCs w:val="20"/>
        </w:rPr>
        <w:t>.</w:t>
      </w:r>
      <w:r w:rsidRPr="000230E1">
        <w:rPr>
          <w:rFonts w:ascii="Arial" w:hAnsi="Arial" w:cs="Arial"/>
          <w:sz w:val="20"/>
          <w:szCs w:val="20"/>
        </w:rPr>
        <w:t xml:space="preserve"> </w:t>
      </w:r>
    </w:p>
    <w:p w14:paraId="6887461B" w14:textId="77777777" w:rsidR="00762063" w:rsidRPr="000230E1" w:rsidRDefault="00BE1F7F" w:rsidP="000230E1">
      <w:pPr>
        <w:jc w:val="both"/>
        <w:rPr>
          <w:rFonts w:ascii="Arial" w:hAnsi="Arial" w:cs="Arial"/>
          <w:b/>
          <w:sz w:val="20"/>
          <w:szCs w:val="20"/>
        </w:rPr>
      </w:pPr>
      <w:r w:rsidRPr="000230E1">
        <w:rPr>
          <w:rFonts w:ascii="Arial" w:hAnsi="Arial" w:cs="Arial"/>
          <w:b/>
          <w:sz w:val="20"/>
          <w:szCs w:val="20"/>
        </w:rPr>
        <w:t>3.3</w:t>
      </w:r>
      <w:r w:rsidRPr="000230E1">
        <w:rPr>
          <w:rFonts w:ascii="Arial" w:hAnsi="Arial" w:cs="Arial"/>
          <w:b/>
          <w:sz w:val="20"/>
          <w:szCs w:val="20"/>
        </w:rPr>
        <w:tab/>
      </w:r>
      <w:r w:rsidR="00762063" w:rsidRPr="000230E1">
        <w:rPr>
          <w:rFonts w:ascii="Arial" w:hAnsi="Arial" w:cs="Arial"/>
          <w:b/>
          <w:sz w:val="20"/>
          <w:szCs w:val="20"/>
        </w:rPr>
        <w:t>Wider consumer research of relevance</w:t>
      </w:r>
    </w:p>
    <w:p w14:paraId="289966E8" w14:textId="77777777" w:rsidR="00762063" w:rsidRPr="000230E1" w:rsidRDefault="00762063" w:rsidP="000230E1">
      <w:pPr>
        <w:jc w:val="both"/>
        <w:rPr>
          <w:rFonts w:ascii="Arial" w:hAnsi="Arial" w:cs="Arial"/>
          <w:sz w:val="20"/>
          <w:szCs w:val="20"/>
        </w:rPr>
      </w:pPr>
      <w:r w:rsidRPr="000230E1">
        <w:rPr>
          <w:rFonts w:ascii="Arial" w:hAnsi="Arial" w:cs="Arial"/>
          <w:sz w:val="20"/>
          <w:szCs w:val="20"/>
        </w:rPr>
        <w:t xml:space="preserve">In </w:t>
      </w:r>
      <w:r w:rsidR="00BE1F7F" w:rsidRPr="000230E1">
        <w:rPr>
          <w:rFonts w:ascii="Arial" w:hAnsi="Arial" w:cs="Arial"/>
          <w:sz w:val="20"/>
          <w:szCs w:val="20"/>
        </w:rPr>
        <w:t>2016,</w:t>
      </w:r>
      <w:r w:rsidRPr="000230E1">
        <w:rPr>
          <w:rFonts w:ascii="Arial" w:hAnsi="Arial" w:cs="Arial"/>
          <w:sz w:val="20"/>
          <w:szCs w:val="20"/>
        </w:rPr>
        <w:t xml:space="preserve"> the Money Advice Service (MAS) performed research by a combination of focus groups and in depth interviews on retirement language</w:t>
      </w:r>
      <w:r w:rsidR="00BE1F7F" w:rsidRPr="000230E1">
        <w:rPr>
          <w:rFonts w:ascii="Arial" w:hAnsi="Arial" w:cs="Arial"/>
          <w:sz w:val="20"/>
          <w:szCs w:val="20"/>
        </w:rPr>
        <w:t xml:space="preserve"> (Money Advice Service, 2016)</w:t>
      </w:r>
      <w:r w:rsidRPr="000230E1">
        <w:rPr>
          <w:rFonts w:ascii="Arial" w:hAnsi="Arial" w:cs="Arial"/>
          <w:sz w:val="20"/>
          <w:szCs w:val="20"/>
        </w:rPr>
        <w:t>, across a range of ages, financial sophistications and pension pot</w:t>
      </w:r>
      <w:r w:rsidR="00225649" w:rsidRPr="000230E1">
        <w:rPr>
          <w:rFonts w:ascii="Arial" w:hAnsi="Arial" w:cs="Arial"/>
          <w:sz w:val="20"/>
          <w:szCs w:val="20"/>
        </w:rPr>
        <w:t xml:space="preserve"> </w:t>
      </w:r>
      <w:r w:rsidRPr="000230E1">
        <w:rPr>
          <w:rFonts w:ascii="Arial" w:hAnsi="Arial" w:cs="Arial"/>
          <w:sz w:val="20"/>
          <w:szCs w:val="20"/>
        </w:rPr>
        <w:t>s</w:t>
      </w:r>
      <w:r w:rsidR="00225649" w:rsidRPr="000230E1">
        <w:rPr>
          <w:rFonts w:ascii="Arial" w:hAnsi="Arial" w:cs="Arial"/>
          <w:sz w:val="20"/>
          <w:szCs w:val="20"/>
        </w:rPr>
        <w:t>izes</w:t>
      </w:r>
      <w:r w:rsidRPr="000230E1">
        <w:rPr>
          <w:rFonts w:ascii="Arial" w:hAnsi="Arial" w:cs="Arial"/>
          <w:sz w:val="20"/>
          <w:szCs w:val="20"/>
        </w:rPr>
        <w:t>. While the research was not with-profits specific, many of the findings are applicable to with-profits consumers as well as wider pensions consumers.</w:t>
      </w:r>
    </w:p>
    <w:p w14:paraId="200D97BE" w14:textId="77777777" w:rsidR="00762063" w:rsidRPr="000230E1" w:rsidRDefault="00762063" w:rsidP="000230E1">
      <w:pPr>
        <w:jc w:val="both"/>
        <w:rPr>
          <w:rFonts w:ascii="Arial" w:hAnsi="Arial" w:cs="Arial"/>
          <w:sz w:val="20"/>
          <w:szCs w:val="20"/>
        </w:rPr>
      </w:pPr>
      <w:r w:rsidRPr="000230E1">
        <w:rPr>
          <w:rFonts w:ascii="Arial" w:hAnsi="Arial" w:cs="Arial"/>
          <w:sz w:val="20"/>
          <w:szCs w:val="20"/>
        </w:rPr>
        <w:t xml:space="preserve">Overall understanding and confidence around pensions is low. Individuals rarely understand personal control over pensions and tend to think of pensions as something that “happens to them” rather than a process </w:t>
      </w:r>
      <w:r w:rsidR="00225649" w:rsidRPr="000230E1">
        <w:rPr>
          <w:rFonts w:ascii="Arial" w:hAnsi="Arial" w:cs="Arial"/>
          <w:sz w:val="20"/>
          <w:szCs w:val="20"/>
        </w:rPr>
        <w:t xml:space="preserve">in which </w:t>
      </w:r>
      <w:r w:rsidRPr="000230E1">
        <w:rPr>
          <w:rFonts w:ascii="Arial" w:hAnsi="Arial" w:cs="Arial"/>
          <w:sz w:val="20"/>
          <w:szCs w:val="20"/>
        </w:rPr>
        <w:t xml:space="preserve">they can be involved. Engaging </w:t>
      </w:r>
      <w:r w:rsidR="00225649" w:rsidRPr="000230E1">
        <w:rPr>
          <w:rFonts w:ascii="Arial" w:hAnsi="Arial" w:cs="Arial"/>
          <w:sz w:val="20"/>
          <w:szCs w:val="20"/>
        </w:rPr>
        <w:t>consumers</w:t>
      </w:r>
      <w:r w:rsidRPr="000230E1">
        <w:rPr>
          <w:rFonts w:ascii="Arial" w:hAnsi="Arial" w:cs="Arial"/>
          <w:sz w:val="20"/>
          <w:szCs w:val="20"/>
        </w:rPr>
        <w:t xml:space="preserve"> in pension decisions is a challenge to the industry and companies may wish to consider alternative communication styles and strategies. Communication should be early and often to build both a trusted relationship and consumers’ understanding.</w:t>
      </w:r>
    </w:p>
    <w:p w14:paraId="4483161C" w14:textId="77777777" w:rsidR="00762063" w:rsidRPr="000230E1" w:rsidRDefault="00A33714" w:rsidP="000230E1">
      <w:pPr>
        <w:jc w:val="both"/>
        <w:rPr>
          <w:rFonts w:ascii="Arial" w:hAnsi="Arial" w:cs="Arial"/>
          <w:sz w:val="20"/>
          <w:szCs w:val="20"/>
        </w:rPr>
      </w:pPr>
      <w:r w:rsidRPr="000230E1">
        <w:rPr>
          <w:rFonts w:ascii="Arial" w:hAnsi="Arial" w:cs="Arial"/>
          <w:sz w:val="20"/>
          <w:szCs w:val="20"/>
        </w:rPr>
        <w:t xml:space="preserve">The use of appropriate language and identification </w:t>
      </w:r>
      <w:r w:rsidR="00644FD2" w:rsidRPr="000230E1">
        <w:rPr>
          <w:rFonts w:ascii="Arial" w:hAnsi="Arial" w:cs="Arial"/>
          <w:sz w:val="20"/>
          <w:szCs w:val="20"/>
        </w:rPr>
        <w:t xml:space="preserve">consumers’ </w:t>
      </w:r>
      <w:r w:rsidRPr="000230E1">
        <w:rPr>
          <w:rFonts w:ascii="Arial" w:hAnsi="Arial" w:cs="Arial"/>
          <w:sz w:val="20"/>
          <w:szCs w:val="20"/>
        </w:rPr>
        <w:t xml:space="preserve">information requirements </w:t>
      </w:r>
      <w:r w:rsidR="00644FD2" w:rsidRPr="000230E1">
        <w:rPr>
          <w:rFonts w:ascii="Arial" w:hAnsi="Arial" w:cs="Arial"/>
          <w:sz w:val="20"/>
          <w:szCs w:val="20"/>
        </w:rPr>
        <w:t xml:space="preserve">should continue to be developed by providers. </w:t>
      </w:r>
    </w:p>
    <w:p w14:paraId="73F411F3" w14:textId="77777777" w:rsidR="00762063" w:rsidRPr="000230E1" w:rsidRDefault="00A33714" w:rsidP="000230E1">
      <w:pPr>
        <w:jc w:val="both"/>
        <w:rPr>
          <w:rFonts w:ascii="Arial" w:hAnsi="Arial" w:cs="Arial"/>
          <w:b/>
          <w:sz w:val="20"/>
          <w:szCs w:val="20"/>
        </w:rPr>
      </w:pPr>
      <w:r w:rsidRPr="000230E1">
        <w:rPr>
          <w:rFonts w:ascii="Arial" w:hAnsi="Arial" w:cs="Arial"/>
          <w:b/>
          <w:sz w:val="20"/>
          <w:szCs w:val="20"/>
        </w:rPr>
        <w:t xml:space="preserve">3.4 </w:t>
      </w:r>
      <w:r w:rsidRPr="000230E1">
        <w:rPr>
          <w:rFonts w:ascii="Arial" w:hAnsi="Arial" w:cs="Arial"/>
          <w:b/>
          <w:sz w:val="20"/>
          <w:szCs w:val="20"/>
        </w:rPr>
        <w:tab/>
      </w:r>
      <w:r w:rsidR="00762063" w:rsidRPr="000230E1">
        <w:rPr>
          <w:rFonts w:ascii="Arial" w:hAnsi="Arial" w:cs="Arial"/>
          <w:b/>
          <w:sz w:val="20"/>
          <w:szCs w:val="20"/>
        </w:rPr>
        <w:t>Summary</w:t>
      </w:r>
    </w:p>
    <w:p w14:paraId="7561990D" w14:textId="77777777" w:rsidR="00762063" w:rsidRPr="000230E1" w:rsidRDefault="00A33714" w:rsidP="000230E1">
      <w:pPr>
        <w:jc w:val="both"/>
        <w:rPr>
          <w:rFonts w:ascii="Arial" w:hAnsi="Arial" w:cs="Arial"/>
          <w:sz w:val="20"/>
          <w:szCs w:val="20"/>
        </w:rPr>
      </w:pPr>
      <w:r w:rsidRPr="000230E1">
        <w:rPr>
          <w:rFonts w:ascii="Arial" w:hAnsi="Arial" w:cs="Arial"/>
          <w:sz w:val="20"/>
          <w:szCs w:val="20"/>
        </w:rPr>
        <w:t xml:space="preserve">Consumers </w:t>
      </w:r>
      <w:r w:rsidR="000F4212" w:rsidRPr="000230E1">
        <w:rPr>
          <w:rFonts w:ascii="Arial" w:hAnsi="Arial" w:cs="Arial"/>
          <w:sz w:val="20"/>
          <w:szCs w:val="20"/>
        </w:rPr>
        <w:t xml:space="preserve">may </w:t>
      </w:r>
      <w:r w:rsidRPr="000230E1">
        <w:rPr>
          <w:rFonts w:ascii="Arial" w:hAnsi="Arial" w:cs="Arial"/>
          <w:sz w:val="20"/>
          <w:szCs w:val="20"/>
        </w:rPr>
        <w:t xml:space="preserve">not </w:t>
      </w:r>
      <w:r w:rsidR="000F4212" w:rsidRPr="000230E1">
        <w:rPr>
          <w:rFonts w:ascii="Arial" w:hAnsi="Arial" w:cs="Arial"/>
          <w:sz w:val="20"/>
          <w:szCs w:val="20"/>
        </w:rPr>
        <w:t xml:space="preserve">have </w:t>
      </w:r>
      <w:r w:rsidRPr="000230E1">
        <w:rPr>
          <w:rFonts w:ascii="Arial" w:hAnsi="Arial" w:cs="Arial"/>
          <w:sz w:val="20"/>
          <w:szCs w:val="20"/>
        </w:rPr>
        <w:t xml:space="preserve">sufficient knowledge or understanding to make </w:t>
      </w:r>
      <w:r w:rsidR="00644FD2" w:rsidRPr="000230E1">
        <w:rPr>
          <w:rFonts w:ascii="Arial" w:hAnsi="Arial" w:cs="Arial"/>
          <w:sz w:val="20"/>
          <w:szCs w:val="20"/>
        </w:rPr>
        <w:t xml:space="preserve">informed </w:t>
      </w:r>
      <w:r w:rsidRPr="000230E1">
        <w:rPr>
          <w:rFonts w:ascii="Arial" w:hAnsi="Arial" w:cs="Arial"/>
          <w:sz w:val="20"/>
          <w:szCs w:val="20"/>
        </w:rPr>
        <w:t>decision</w:t>
      </w:r>
      <w:r w:rsidR="00644FD2" w:rsidRPr="000230E1">
        <w:rPr>
          <w:rFonts w:ascii="Arial" w:hAnsi="Arial" w:cs="Arial"/>
          <w:sz w:val="20"/>
          <w:szCs w:val="20"/>
        </w:rPr>
        <w:t>s</w:t>
      </w:r>
      <w:r w:rsidRPr="000230E1">
        <w:rPr>
          <w:rFonts w:ascii="Arial" w:hAnsi="Arial" w:cs="Arial"/>
          <w:sz w:val="20"/>
          <w:szCs w:val="20"/>
        </w:rPr>
        <w:t xml:space="preserve"> when it comes to financial products. This is particularly true in of with-profits</w:t>
      </w:r>
      <w:r w:rsidR="00644FD2" w:rsidRPr="000230E1">
        <w:rPr>
          <w:rFonts w:ascii="Arial" w:hAnsi="Arial" w:cs="Arial"/>
          <w:sz w:val="20"/>
          <w:szCs w:val="20"/>
        </w:rPr>
        <w:t>,</w:t>
      </w:r>
      <w:r w:rsidRPr="000230E1">
        <w:rPr>
          <w:rFonts w:ascii="Arial" w:hAnsi="Arial" w:cs="Arial"/>
          <w:sz w:val="20"/>
          <w:szCs w:val="20"/>
        </w:rPr>
        <w:t xml:space="preserve"> where a lack of consistency in approach between providers or funds, coupled with arguably more complicated products and jargon</w:t>
      </w:r>
      <w:r w:rsidR="00644FD2" w:rsidRPr="000230E1">
        <w:rPr>
          <w:rFonts w:ascii="Arial" w:hAnsi="Arial" w:cs="Arial"/>
          <w:sz w:val="20"/>
          <w:szCs w:val="20"/>
        </w:rPr>
        <w:t xml:space="preserve"> </w:t>
      </w:r>
      <w:r w:rsidR="000F4212" w:rsidRPr="000230E1">
        <w:rPr>
          <w:rFonts w:ascii="Arial" w:hAnsi="Arial" w:cs="Arial"/>
          <w:sz w:val="20"/>
          <w:szCs w:val="20"/>
        </w:rPr>
        <w:t>is leaving some</w:t>
      </w:r>
      <w:r w:rsidR="00644FD2" w:rsidRPr="000230E1">
        <w:rPr>
          <w:rFonts w:ascii="Arial" w:hAnsi="Arial" w:cs="Arial"/>
          <w:sz w:val="20"/>
          <w:szCs w:val="20"/>
        </w:rPr>
        <w:t xml:space="preserve"> </w:t>
      </w:r>
      <w:r w:rsidRPr="000230E1">
        <w:rPr>
          <w:rFonts w:ascii="Arial" w:hAnsi="Arial" w:cs="Arial"/>
          <w:sz w:val="20"/>
          <w:szCs w:val="20"/>
        </w:rPr>
        <w:t xml:space="preserve">consumers bewildered. Engaging </w:t>
      </w:r>
      <w:r w:rsidR="00644FD2" w:rsidRPr="000230E1">
        <w:rPr>
          <w:rFonts w:ascii="Arial" w:hAnsi="Arial" w:cs="Arial"/>
          <w:sz w:val="20"/>
          <w:szCs w:val="20"/>
        </w:rPr>
        <w:t>consumers</w:t>
      </w:r>
      <w:r w:rsidRPr="000230E1">
        <w:rPr>
          <w:rFonts w:ascii="Arial" w:hAnsi="Arial" w:cs="Arial"/>
          <w:sz w:val="20"/>
          <w:szCs w:val="20"/>
        </w:rPr>
        <w:t xml:space="preserve"> in the lifecycle of their with-profits policy and reassuring them of governance in place to protect the</w:t>
      </w:r>
      <w:r w:rsidR="000F4212" w:rsidRPr="000230E1">
        <w:rPr>
          <w:rFonts w:ascii="Arial" w:hAnsi="Arial" w:cs="Arial"/>
          <w:sz w:val="20"/>
          <w:szCs w:val="20"/>
        </w:rPr>
        <w:t xml:space="preserve">ir interests </w:t>
      </w:r>
      <w:r w:rsidRPr="000230E1">
        <w:rPr>
          <w:rFonts w:ascii="Arial" w:hAnsi="Arial" w:cs="Arial"/>
          <w:sz w:val="20"/>
          <w:szCs w:val="20"/>
        </w:rPr>
        <w:t xml:space="preserve">would be positive steps to remedy this. </w:t>
      </w:r>
    </w:p>
    <w:p w14:paraId="3C3978A4" w14:textId="77777777" w:rsidR="000F4212" w:rsidRPr="00A33714" w:rsidRDefault="000F4212" w:rsidP="000230E1">
      <w:pPr>
        <w:jc w:val="both"/>
      </w:pPr>
      <w:r w:rsidRPr="000230E1">
        <w:rPr>
          <w:rFonts w:ascii="Arial" w:hAnsi="Arial" w:cs="Arial"/>
          <w:sz w:val="20"/>
          <w:szCs w:val="20"/>
        </w:rPr>
        <w:t xml:space="preserve">More could be done to tackle misleading negative press coverage, individual providers and the profession as a whole should consider all avenues of communication through which consumers access information about their policyholders and ensure these are fit for purpose. </w:t>
      </w:r>
    </w:p>
    <w:p w14:paraId="03D5FB3B" w14:textId="77777777" w:rsidR="00762063" w:rsidRPr="00762063" w:rsidRDefault="00762063" w:rsidP="00486EC3">
      <w:pPr>
        <w:pStyle w:val="Footer"/>
        <w:rPr>
          <w:rFonts w:ascii="Arial" w:hAnsi="Arial" w:cs="Arial"/>
          <w:sz w:val="20"/>
          <w:szCs w:val="20"/>
        </w:rPr>
      </w:pPr>
    </w:p>
    <w:p w14:paraId="4313BD22" w14:textId="77777777" w:rsidR="00486EC3" w:rsidRPr="00893B5C" w:rsidRDefault="00024DE0" w:rsidP="00797372">
      <w:pPr>
        <w:rPr>
          <w:rFonts w:ascii="Arial" w:hAnsi="Arial" w:cs="Arial"/>
          <w:b/>
          <w:sz w:val="20"/>
          <w:szCs w:val="20"/>
        </w:rPr>
      </w:pPr>
      <w:r w:rsidRPr="00893B5C">
        <w:rPr>
          <w:rFonts w:ascii="Arial" w:hAnsi="Arial" w:cs="Arial"/>
          <w:b/>
          <w:sz w:val="20"/>
          <w:szCs w:val="20"/>
        </w:rPr>
        <w:fldChar w:fldCharType="end"/>
      </w:r>
    </w:p>
    <w:p w14:paraId="674B8BC1" w14:textId="77777777" w:rsidR="00DB17F9" w:rsidRDefault="00DB17F9">
      <w:pPr>
        <w:rPr>
          <w:rFonts w:ascii="Arial" w:hAnsi="Arial" w:cs="Arial"/>
          <w:b/>
          <w:sz w:val="20"/>
          <w:szCs w:val="20"/>
        </w:rPr>
      </w:pPr>
      <w:r>
        <w:rPr>
          <w:rFonts w:ascii="Arial" w:hAnsi="Arial" w:cs="Arial"/>
          <w:b/>
          <w:sz w:val="20"/>
          <w:szCs w:val="20"/>
        </w:rPr>
        <w:br w:type="page"/>
      </w:r>
    </w:p>
    <w:p w14:paraId="583D531D" w14:textId="77777777" w:rsidR="00797372" w:rsidRPr="00893B5C" w:rsidRDefault="00D34FC4" w:rsidP="00797372">
      <w:pPr>
        <w:rPr>
          <w:rFonts w:ascii="Arial" w:hAnsi="Arial" w:cs="Arial"/>
          <w:b/>
          <w:sz w:val="20"/>
          <w:szCs w:val="20"/>
        </w:rPr>
      </w:pPr>
      <w:r>
        <w:rPr>
          <w:rFonts w:ascii="Arial" w:hAnsi="Arial" w:cs="Arial"/>
          <w:b/>
          <w:sz w:val="20"/>
          <w:szCs w:val="20"/>
        </w:rPr>
        <w:lastRenderedPageBreak/>
        <w:t>4.</w:t>
      </w:r>
      <w:r>
        <w:rPr>
          <w:rFonts w:ascii="Arial" w:hAnsi="Arial" w:cs="Arial"/>
          <w:b/>
          <w:sz w:val="20"/>
          <w:szCs w:val="20"/>
        </w:rPr>
        <w:tab/>
        <w:t>With-profits consumer communications</w:t>
      </w:r>
    </w:p>
    <w:sdt>
      <w:sdtPr>
        <w:rPr>
          <w:rFonts w:ascii="Arial" w:eastAsiaTheme="minorEastAsia" w:hAnsi="Arial" w:cs="Arial"/>
          <w:color w:val="auto"/>
          <w:sz w:val="20"/>
          <w:szCs w:val="20"/>
          <w:lang w:eastAsia="en-GB"/>
        </w:rPr>
        <w:id w:val="-1565630971"/>
        <w:placeholder>
          <w:docPart w:val="04220529A26A4C98B9158451A7B005C3"/>
        </w:placeholder>
      </w:sdtPr>
      <w:sdtContent>
        <w:sdt>
          <w:sdtPr>
            <w:rPr>
              <w:rFonts w:ascii="Arial" w:eastAsiaTheme="minorEastAsia" w:hAnsi="Arial" w:cs="Arial"/>
              <w:color w:val="auto"/>
              <w:sz w:val="20"/>
              <w:szCs w:val="20"/>
              <w:lang w:eastAsia="en-GB"/>
            </w:rPr>
            <w:id w:val="423390262"/>
            <w:placeholder>
              <w:docPart w:val="1A823897A8634221817F8672A9EE452D"/>
            </w:placeholder>
          </w:sdtPr>
          <w:sdtEndPr>
            <w:rPr>
              <w:b/>
            </w:rPr>
          </w:sdtEndPr>
          <w:sdtContent>
            <w:p w14:paraId="43AA5DDF" w14:textId="39BFA6B4" w:rsidR="00166D35" w:rsidRPr="00E470FC" w:rsidRDefault="00166D35" w:rsidP="00166D35">
              <w:pPr>
                <w:pStyle w:val="Default"/>
                <w:rPr>
                  <w:rFonts w:ascii="Arial" w:eastAsiaTheme="minorEastAsia" w:hAnsi="Arial" w:cs="Arial"/>
                  <w:lang w:eastAsia="en-GB"/>
                </w:rPr>
              </w:pPr>
            </w:p>
            <w:p w14:paraId="79E001C9" w14:textId="6CDC59A5" w:rsidR="00166D35" w:rsidRPr="000230E1" w:rsidRDefault="00166D35" w:rsidP="000230E1">
              <w:pPr>
                <w:autoSpaceDE w:val="0"/>
                <w:autoSpaceDN w:val="0"/>
                <w:adjustRightInd w:val="0"/>
                <w:spacing w:after="0" w:line="240" w:lineRule="auto"/>
                <w:jc w:val="both"/>
                <w:rPr>
                  <w:rFonts w:ascii="Arial" w:hAnsi="Arial" w:cs="Arial"/>
                  <w:sz w:val="20"/>
                  <w:szCs w:val="20"/>
                </w:rPr>
              </w:pPr>
              <w:r w:rsidRPr="000230E1">
                <w:rPr>
                  <w:rFonts w:ascii="Arial" w:hAnsi="Arial" w:cs="Arial"/>
                  <w:color w:val="000000"/>
                  <w:sz w:val="20"/>
                  <w:szCs w:val="20"/>
                </w:rPr>
                <w:t xml:space="preserve">The working party was asked to consider relevant with-profits marketing literature and benefit statements with a view to identifying improved/simpler explanations of the concepts underlying with-profits and whether or not sophisticated technical explanations should be used. </w:t>
              </w:r>
              <w:r w:rsidRPr="000230E1">
                <w:rPr>
                  <w:rFonts w:ascii="Arial" w:hAnsi="Arial" w:cs="Arial"/>
                  <w:sz w:val="20"/>
                  <w:szCs w:val="20"/>
                </w:rPr>
                <w:t xml:space="preserve">In </w:t>
              </w:r>
              <w:r w:rsidRPr="000230E1">
                <w:rPr>
                  <w:rFonts w:ascii="Arial" w:hAnsi="Arial" w:cs="Arial"/>
                  <w:sz w:val="20"/>
                  <w:szCs w:val="20"/>
                  <w:lang w:eastAsia="en-US"/>
                </w:rPr>
                <w:t xml:space="preserve">this section we review and </w:t>
              </w:r>
              <w:r w:rsidR="009569E6">
                <w:rPr>
                  <w:rFonts w:ascii="Arial" w:hAnsi="Arial" w:cs="Arial"/>
                  <w:sz w:val="20"/>
                  <w:szCs w:val="20"/>
                  <w:lang w:eastAsia="en-US"/>
                </w:rPr>
                <w:t>share the working party</w:t>
              </w:r>
              <w:r w:rsidR="00030681">
                <w:rPr>
                  <w:rFonts w:ascii="Arial" w:hAnsi="Arial" w:cs="Arial"/>
                  <w:sz w:val="20"/>
                  <w:szCs w:val="20"/>
                  <w:lang w:eastAsia="en-US"/>
                </w:rPr>
                <w:t>’s views</w:t>
              </w:r>
              <w:r w:rsidR="009569E6" w:rsidRPr="000230E1">
                <w:rPr>
                  <w:rFonts w:ascii="Arial" w:hAnsi="Arial" w:cs="Arial"/>
                  <w:sz w:val="20"/>
                  <w:szCs w:val="20"/>
                  <w:lang w:eastAsia="en-US"/>
                </w:rPr>
                <w:t xml:space="preserve"> in respect of the </w:t>
              </w:r>
              <w:r w:rsidR="009569E6" w:rsidRPr="000230E1">
                <w:rPr>
                  <w:rFonts w:ascii="Arial" w:hAnsi="Arial" w:cs="Arial"/>
                  <w:sz w:val="20"/>
                  <w:szCs w:val="20"/>
                </w:rPr>
                <w:t xml:space="preserve">example with-profits communications provided directly to the working party by firms. </w:t>
              </w:r>
              <w:r w:rsidR="009569E6">
                <w:rPr>
                  <w:rFonts w:ascii="Arial" w:hAnsi="Arial" w:cs="Arial"/>
                  <w:sz w:val="20"/>
                  <w:szCs w:val="20"/>
                </w:rPr>
                <w:t>These might not apply to all of the communications reviewed.</w:t>
              </w:r>
              <w:r w:rsidRPr="000230E1">
                <w:rPr>
                  <w:rFonts w:ascii="Arial" w:hAnsi="Arial" w:cs="Arial"/>
                  <w:sz w:val="20"/>
                  <w:szCs w:val="20"/>
                </w:rPr>
                <w:t xml:space="preserve"> </w:t>
              </w:r>
            </w:p>
            <w:p w14:paraId="21B16AB1" w14:textId="77777777" w:rsidR="00166D35" w:rsidRPr="000230E1" w:rsidRDefault="00166D35" w:rsidP="000230E1">
              <w:pPr>
                <w:jc w:val="both"/>
                <w:rPr>
                  <w:rFonts w:ascii="Arial" w:hAnsi="Arial" w:cs="Arial"/>
                  <w:sz w:val="20"/>
                  <w:szCs w:val="20"/>
                </w:rPr>
              </w:pPr>
            </w:p>
            <w:p w14:paraId="2E56C6B8" w14:textId="77777777" w:rsidR="00166D35" w:rsidRPr="000230E1" w:rsidRDefault="00166D35" w:rsidP="000230E1">
              <w:pPr>
                <w:jc w:val="both"/>
                <w:rPr>
                  <w:rFonts w:ascii="Arial" w:hAnsi="Arial" w:cs="Arial"/>
                  <w:b/>
                  <w:sz w:val="20"/>
                  <w:szCs w:val="20"/>
                </w:rPr>
              </w:pPr>
              <w:r w:rsidRPr="000230E1">
                <w:rPr>
                  <w:rFonts w:ascii="Arial" w:hAnsi="Arial" w:cs="Arial"/>
                  <w:b/>
                  <w:sz w:val="20"/>
                  <w:szCs w:val="20"/>
                </w:rPr>
                <w:t>4.1 Material reviewed</w:t>
              </w:r>
            </w:p>
            <w:p w14:paraId="52124015" w14:textId="14A7AAF1" w:rsidR="00166D35" w:rsidRPr="000230E1" w:rsidRDefault="00166D35" w:rsidP="000230E1">
              <w:pPr>
                <w:autoSpaceDE w:val="0"/>
                <w:autoSpaceDN w:val="0"/>
                <w:adjustRightInd w:val="0"/>
                <w:spacing w:after="0" w:line="240" w:lineRule="auto"/>
                <w:jc w:val="both"/>
                <w:rPr>
                  <w:rFonts w:ascii="Arial" w:hAnsi="Arial" w:cs="Arial"/>
                  <w:sz w:val="20"/>
                  <w:szCs w:val="20"/>
                </w:rPr>
              </w:pPr>
              <w:r w:rsidRPr="000230E1">
                <w:rPr>
                  <w:rFonts w:ascii="Arial" w:hAnsi="Arial" w:cs="Arial"/>
                  <w:sz w:val="20"/>
                  <w:szCs w:val="20"/>
                </w:rPr>
                <w:t>The working part</w:t>
              </w:r>
              <w:r w:rsidR="00030681">
                <w:rPr>
                  <w:rFonts w:ascii="Arial" w:hAnsi="Arial" w:cs="Arial"/>
                  <w:sz w:val="20"/>
                  <w:szCs w:val="20"/>
                </w:rPr>
                <w:t>y</w:t>
              </w:r>
              <w:r w:rsidRPr="000230E1">
                <w:rPr>
                  <w:rFonts w:ascii="Arial" w:hAnsi="Arial" w:cs="Arial"/>
                  <w:sz w:val="20"/>
                  <w:szCs w:val="20"/>
                </w:rPr>
                <w:t xml:space="preserve"> asked firms to provide examples of their with-profits communications with any personal information removed. Requests were sent to as many firms as possible, and their response was advisory, rather than compulsory. Over 40 contributions were received and after review, 36 with-profits communications were analysed further. </w:t>
              </w:r>
              <w:r w:rsidR="00AE745A" w:rsidRPr="00AE745A">
                <w:rPr>
                  <w:rFonts w:ascii="Arial" w:hAnsi="Arial" w:cs="Arial"/>
                  <w:sz w:val="20"/>
                  <w:szCs w:val="20"/>
                </w:rPr>
                <w:t xml:space="preserve">Due to the different structure of conventional and unitised with-profits products and the differing regulatory requirements for Pension and Investment (Life) products, our analysis has been presented below in these categories. </w:t>
              </w:r>
              <w:r w:rsidRPr="000230E1">
                <w:rPr>
                  <w:rFonts w:ascii="Arial" w:hAnsi="Arial" w:cs="Arial"/>
                  <w:sz w:val="20"/>
                  <w:szCs w:val="20"/>
                </w:rPr>
                <w:t xml:space="preserve">This split was chosen so that key comparable aspects within each of the communications could be easily identified. Items such as sum assured, regular and final bonus, and market value reductions were analysed further. In addition, the elements included in Outcome 2 of the FCA’s Fair treatment of long-standing customers guidance, FG16/8, were also examined and detailed comparative findings are included in Section 4.2 below. </w:t>
              </w:r>
            </w:p>
            <w:p w14:paraId="21314B29" w14:textId="77777777" w:rsidR="00166D35" w:rsidRPr="000230E1" w:rsidRDefault="00166D35" w:rsidP="000230E1">
              <w:pPr>
                <w:spacing w:before="100" w:beforeAutospacing="1" w:after="100" w:afterAutospacing="1"/>
                <w:jc w:val="both"/>
                <w:rPr>
                  <w:rFonts w:ascii="Arial" w:hAnsi="Arial" w:cs="Arial"/>
                  <w:sz w:val="20"/>
                  <w:szCs w:val="20"/>
                </w:rPr>
              </w:pPr>
              <w:r w:rsidRPr="000230E1">
                <w:rPr>
                  <w:rFonts w:ascii="Arial" w:hAnsi="Arial" w:cs="Arial"/>
                  <w:sz w:val="20"/>
                  <w:szCs w:val="20"/>
                </w:rPr>
                <w:t xml:space="preserve">The communications were reviewed from a consumer perspective, with the aim being to see whether a communications allows a consumer to have a clear understanding of their product, how it has performed, and the benefits, risks and costs associated with their product. More specifically, the review placed a particular focus on the value a consumer would draw from the communication. </w:t>
              </w:r>
            </w:p>
            <w:p w14:paraId="7B1D1C16" w14:textId="77777777" w:rsidR="00166D35" w:rsidRPr="000230E1" w:rsidRDefault="00166D35" w:rsidP="000230E1">
              <w:pPr>
                <w:jc w:val="both"/>
                <w:rPr>
                  <w:rFonts w:ascii="Arial" w:hAnsi="Arial" w:cs="Arial"/>
                  <w:sz w:val="20"/>
                  <w:szCs w:val="20"/>
                </w:rPr>
              </w:pPr>
            </w:p>
            <w:p w14:paraId="26CB810A" w14:textId="77777777" w:rsidR="00166D35" w:rsidRPr="000230E1" w:rsidRDefault="00166D35" w:rsidP="000230E1">
              <w:pPr>
                <w:jc w:val="both"/>
                <w:rPr>
                  <w:rFonts w:ascii="Arial" w:hAnsi="Arial" w:cs="Arial"/>
                  <w:b/>
                  <w:sz w:val="20"/>
                  <w:szCs w:val="20"/>
                </w:rPr>
              </w:pPr>
              <w:r w:rsidRPr="000230E1">
                <w:rPr>
                  <w:rFonts w:ascii="Arial" w:hAnsi="Arial" w:cs="Arial"/>
                  <w:b/>
                  <w:sz w:val="20"/>
                  <w:szCs w:val="20"/>
                </w:rPr>
                <w:t>4.2 Practices observed</w:t>
              </w:r>
            </w:p>
            <w:p w14:paraId="682218A6" w14:textId="3A187414" w:rsidR="00166D35" w:rsidRPr="000230E1" w:rsidRDefault="00166D35" w:rsidP="000230E1">
              <w:pPr>
                <w:jc w:val="both"/>
                <w:rPr>
                  <w:rFonts w:ascii="Arial" w:hAnsi="Arial" w:cs="Arial"/>
                  <w:sz w:val="20"/>
                  <w:szCs w:val="20"/>
                </w:rPr>
              </w:pPr>
              <w:r w:rsidRPr="000230E1">
                <w:rPr>
                  <w:rFonts w:ascii="Arial" w:hAnsi="Arial" w:cs="Arial"/>
                  <w:sz w:val="20"/>
                  <w:szCs w:val="20"/>
                </w:rPr>
                <w:t xml:space="preserve">Our review of the current communications has shown how each company has sought to provide useful information to policyholders against the framework of </w:t>
              </w:r>
              <w:r w:rsidRPr="00944B76">
                <w:rPr>
                  <w:rFonts w:ascii="Arial" w:hAnsi="Arial" w:cs="Arial"/>
                  <w:sz w:val="20"/>
                  <w:szCs w:val="20"/>
                </w:rPr>
                <w:t>the current FCA guidance and</w:t>
              </w:r>
              <w:r w:rsidR="00993C66" w:rsidRPr="00944B76">
                <w:rPr>
                  <w:rFonts w:ascii="Arial" w:hAnsi="Arial" w:cs="Arial"/>
                  <w:sz w:val="20"/>
                  <w:szCs w:val="20"/>
                </w:rPr>
                <w:t xml:space="preserve"> </w:t>
              </w:r>
              <w:r w:rsidRPr="00944B76">
                <w:rPr>
                  <w:rFonts w:ascii="Arial" w:hAnsi="Arial" w:cs="Arial"/>
                  <w:sz w:val="20"/>
                  <w:szCs w:val="20"/>
                </w:rPr>
                <w:t>principles</w:t>
              </w:r>
              <w:r w:rsidR="00C3169E" w:rsidRPr="00944B76">
                <w:rPr>
                  <w:rFonts w:ascii="Arial" w:hAnsi="Arial" w:cs="Arial"/>
                  <w:sz w:val="20"/>
                  <w:szCs w:val="20"/>
                </w:rPr>
                <w:t>.</w:t>
              </w:r>
              <w:r w:rsidRPr="00944B76">
                <w:rPr>
                  <w:rFonts w:ascii="Arial" w:hAnsi="Arial" w:cs="Arial"/>
                  <w:sz w:val="20"/>
                  <w:szCs w:val="20"/>
                </w:rPr>
                <w:t xml:space="preserve"> </w:t>
              </w:r>
              <w:r w:rsidR="00C3169E">
                <w:rPr>
                  <w:rFonts w:ascii="Arial" w:hAnsi="Arial" w:cs="Arial"/>
                  <w:sz w:val="20"/>
                  <w:szCs w:val="20"/>
                </w:rPr>
                <w:t xml:space="preserve"> Of particular relevance is </w:t>
              </w:r>
              <w:r w:rsidR="00C3169E" w:rsidRPr="00C3169E">
                <w:rPr>
                  <w:rFonts w:ascii="Arial" w:hAnsi="Arial" w:cs="Arial"/>
                  <w:sz w:val="20"/>
                  <w:szCs w:val="20"/>
                </w:rPr>
                <w:t xml:space="preserve">Principle 7 of the </w:t>
              </w:r>
              <w:r w:rsidR="00C3169E">
                <w:rPr>
                  <w:rFonts w:ascii="Arial" w:hAnsi="Arial" w:cs="Arial"/>
                  <w:sz w:val="20"/>
                  <w:szCs w:val="20"/>
                </w:rPr>
                <w:t xml:space="preserve">FCA’s </w:t>
              </w:r>
              <w:r w:rsidR="00C3169E" w:rsidRPr="00C3169E">
                <w:rPr>
                  <w:rFonts w:ascii="Arial" w:hAnsi="Arial" w:cs="Arial"/>
                  <w:sz w:val="20"/>
                  <w:szCs w:val="20"/>
                </w:rPr>
                <w:t>Principles for Business</w:t>
              </w:r>
              <w:r w:rsidR="00C3169E">
                <w:rPr>
                  <w:rFonts w:ascii="Arial" w:hAnsi="Arial" w:cs="Arial"/>
                  <w:sz w:val="20"/>
                  <w:szCs w:val="20"/>
                </w:rPr>
                <w:t>es</w:t>
              </w:r>
              <w:r w:rsidR="00C3169E" w:rsidRPr="00C3169E">
                <w:rPr>
                  <w:rFonts w:ascii="Arial" w:hAnsi="Arial" w:cs="Arial"/>
                  <w:sz w:val="20"/>
                  <w:szCs w:val="20"/>
                </w:rPr>
                <w:t xml:space="preserve"> </w:t>
              </w:r>
              <w:r w:rsidR="00C3169E">
                <w:rPr>
                  <w:rFonts w:ascii="Arial" w:hAnsi="Arial" w:cs="Arial"/>
                  <w:sz w:val="20"/>
                  <w:szCs w:val="20"/>
                </w:rPr>
                <w:t>which</w:t>
              </w:r>
              <w:r w:rsidR="00C3169E" w:rsidRPr="00C3169E">
                <w:rPr>
                  <w:rFonts w:ascii="Arial" w:hAnsi="Arial" w:cs="Arial"/>
                  <w:sz w:val="20"/>
                  <w:szCs w:val="20"/>
                </w:rPr>
                <w:t xml:space="preserve"> require</w:t>
              </w:r>
              <w:r w:rsidR="00C3169E">
                <w:rPr>
                  <w:rFonts w:ascii="Arial" w:hAnsi="Arial" w:cs="Arial"/>
                  <w:sz w:val="20"/>
                  <w:szCs w:val="20"/>
                </w:rPr>
                <w:t>s</w:t>
              </w:r>
              <w:r w:rsidR="00C3169E" w:rsidRPr="00C3169E">
                <w:rPr>
                  <w:rFonts w:ascii="Arial" w:hAnsi="Arial" w:cs="Arial"/>
                  <w:sz w:val="20"/>
                  <w:szCs w:val="20"/>
                </w:rPr>
                <w:t xml:space="preserve"> firms to </w:t>
              </w:r>
              <w:r w:rsidR="00C3169E">
                <w:rPr>
                  <w:rFonts w:ascii="Arial" w:hAnsi="Arial" w:cs="Arial"/>
                  <w:sz w:val="20"/>
                  <w:szCs w:val="20"/>
                </w:rPr>
                <w:t xml:space="preserve">pay due regard to the information needs of its customers and to </w:t>
              </w:r>
              <w:r w:rsidR="00C3169E" w:rsidRPr="00C3169E">
                <w:rPr>
                  <w:rFonts w:ascii="Arial" w:hAnsi="Arial" w:cs="Arial"/>
                  <w:sz w:val="20"/>
                  <w:szCs w:val="20"/>
                </w:rPr>
                <w:t>ensure that their communications are</w:t>
              </w:r>
              <w:r w:rsidR="00C3169E">
                <w:rPr>
                  <w:rFonts w:ascii="Arial" w:hAnsi="Arial" w:cs="Arial"/>
                  <w:sz w:val="20"/>
                  <w:szCs w:val="20"/>
                </w:rPr>
                <w:t xml:space="preserve"> fair, clear and not misleading</w:t>
              </w:r>
              <w:r w:rsidRPr="000230E1">
                <w:rPr>
                  <w:rFonts w:ascii="Arial" w:hAnsi="Arial" w:cs="Arial"/>
                  <w:sz w:val="20"/>
                  <w:szCs w:val="20"/>
                </w:rPr>
                <w:t>.  This has led to each company coming to its own conclusions and producing something bespoke and often very detailed.  Hence comparing the communications is far from easy and as knowledgeable reviewers we can see that the diversity may be confusing for anyone who has more than one with-profits</w:t>
              </w:r>
              <w:r w:rsidRPr="000230E1">
                <w:rPr>
                  <w:rFonts w:ascii="Arial" w:hAnsi="Arial" w:cs="Arial"/>
                  <w:color w:val="1F497D"/>
                  <w:sz w:val="20"/>
                  <w:szCs w:val="20"/>
                  <w:lang w:eastAsia="en-US"/>
                </w:rPr>
                <w:t xml:space="preserve"> </w:t>
              </w:r>
              <w:r w:rsidRPr="000230E1">
                <w:rPr>
                  <w:rFonts w:ascii="Arial" w:hAnsi="Arial" w:cs="Arial"/>
                  <w:sz w:val="20"/>
                  <w:szCs w:val="20"/>
                </w:rPr>
                <w:t xml:space="preserve">policy! </w:t>
              </w:r>
            </w:p>
            <w:p w14:paraId="7F188519" w14:textId="6F7B2AAD" w:rsidR="001B480F" w:rsidRDefault="00166D35" w:rsidP="000230E1">
              <w:pPr>
                <w:jc w:val="both"/>
                <w:rPr>
                  <w:rFonts w:ascii="Arial" w:hAnsi="Arial" w:cs="Arial"/>
                  <w:sz w:val="20"/>
                  <w:szCs w:val="20"/>
                </w:rPr>
              </w:pPr>
              <w:r w:rsidRPr="000230E1">
                <w:rPr>
                  <w:rFonts w:ascii="Arial" w:hAnsi="Arial" w:cs="Arial"/>
                  <w:sz w:val="20"/>
                  <w:szCs w:val="20"/>
                </w:rPr>
                <w:t>All the communications received were of a good standard</w:t>
              </w:r>
              <w:r w:rsidR="00F22FB7">
                <w:rPr>
                  <w:rFonts w:ascii="Arial" w:hAnsi="Arial" w:cs="Arial"/>
                  <w:sz w:val="20"/>
                  <w:szCs w:val="20"/>
                </w:rPr>
                <w:t xml:space="preserve"> in the opinion of the reviewers</w:t>
              </w:r>
              <w:r w:rsidRPr="000230E1">
                <w:rPr>
                  <w:rFonts w:ascii="Arial" w:hAnsi="Arial" w:cs="Arial"/>
                  <w:sz w:val="20"/>
                  <w:szCs w:val="20"/>
                </w:rPr>
                <w:t xml:space="preserve">, and the findings contained in this report </w:t>
              </w:r>
              <w:r w:rsidR="00F22FB7">
                <w:rPr>
                  <w:rFonts w:ascii="Arial" w:hAnsi="Arial" w:cs="Arial"/>
                  <w:sz w:val="20"/>
                  <w:szCs w:val="20"/>
                </w:rPr>
                <w:t>provide some examples which the reviewers found to be particularly helpful</w:t>
              </w:r>
              <w:r w:rsidRPr="000230E1">
                <w:rPr>
                  <w:rFonts w:ascii="Arial" w:hAnsi="Arial" w:cs="Arial"/>
                  <w:sz w:val="20"/>
                  <w:szCs w:val="20"/>
                </w:rPr>
                <w:t>. It is recognised that firms who submitted their communications to the working party for review wouldn’t have had an opportunity to update these for the outcomes of FG16/8. In addition, it is important to note that the list provided in FG16/8 is not prescribed, and given that the guidance makes it clear that it is for firms to decide what information their customers need, the contents of this report should be seen as an initial opportunity for the working party to present their findings. The table presented below summarises the comparative results of the communications reviewed:</w:t>
              </w:r>
            </w:p>
            <w:p w14:paraId="6AB70664" w14:textId="77777777" w:rsidR="001B480F" w:rsidRDefault="001B480F">
              <w:pPr>
                <w:rPr>
                  <w:rFonts w:ascii="Arial" w:hAnsi="Arial" w:cs="Arial"/>
                  <w:sz w:val="20"/>
                  <w:szCs w:val="20"/>
                </w:rPr>
              </w:pPr>
              <w:r>
                <w:rPr>
                  <w:rFonts w:ascii="Arial" w:hAnsi="Arial" w:cs="Arial"/>
                  <w:sz w:val="20"/>
                  <w:szCs w:val="20"/>
                </w:rPr>
                <w:br w:type="page"/>
              </w:r>
            </w:p>
            <w:p w14:paraId="0A7D2357" w14:textId="77777777" w:rsidR="00166D35" w:rsidRPr="000230E1" w:rsidRDefault="00166D35" w:rsidP="000230E1">
              <w:pPr>
                <w:jc w:val="both"/>
                <w:rPr>
                  <w:rFonts w:ascii="Arial" w:hAnsi="Arial" w:cs="Arial"/>
                  <w:sz w:val="20"/>
                  <w:szCs w:val="20"/>
                </w:rPr>
              </w:pPr>
            </w:p>
            <w:tbl>
              <w:tblPr>
                <w:tblStyle w:val="TableGrid"/>
                <w:tblW w:w="0" w:type="auto"/>
                <w:tblLook w:val="04A0" w:firstRow="1" w:lastRow="0" w:firstColumn="1" w:lastColumn="0" w:noHBand="0" w:noVBand="1"/>
              </w:tblPr>
              <w:tblGrid>
                <w:gridCol w:w="1150"/>
                <w:gridCol w:w="755"/>
                <w:gridCol w:w="935"/>
                <w:gridCol w:w="1303"/>
                <w:gridCol w:w="944"/>
                <w:gridCol w:w="1033"/>
                <w:gridCol w:w="944"/>
                <w:gridCol w:w="944"/>
                <w:gridCol w:w="1008"/>
              </w:tblGrid>
              <w:tr w:rsidR="00166D35" w:rsidRPr="004850A0" w14:paraId="09E720F4" w14:textId="77777777" w:rsidTr="00166D35">
                <w:tc>
                  <w:tcPr>
                    <w:tcW w:w="1150" w:type="dxa"/>
                  </w:tcPr>
                  <w:p w14:paraId="7DC1817D" w14:textId="77777777" w:rsidR="00166D35" w:rsidRPr="00B30F3B" w:rsidRDefault="00166D35" w:rsidP="00166D35">
                    <w:pPr>
                      <w:rPr>
                        <w:rFonts w:ascii="Arial" w:hAnsi="Arial" w:cs="Arial"/>
                        <w:sz w:val="16"/>
                        <w:szCs w:val="16"/>
                      </w:rPr>
                    </w:pPr>
                  </w:p>
                </w:tc>
                <w:tc>
                  <w:tcPr>
                    <w:tcW w:w="755" w:type="dxa"/>
                  </w:tcPr>
                  <w:p w14:paraId="0391A428" w14:textId="77777777" w:rsidR="00166D35" w:rsidRPr="00B30F3B" w:rsidRDefault="00166D35" w:rsidP="00166D35">
                    <w:pPr>
                      <w:rPr>
                        <w:rFonts w:ascii="Arial" w:hAnsi="Arial" w:cs="Arial"/>
                        <w:sz w:val="16"/>
                        <w:szCs w:val="16"/>
                      </w:rPr>
                    </w:pPr>
                    <w:r w:rsidRPr="00B30F3B">
                      <w:rPr>
                        <w:rFonts w:ascii="Arial" w:hAnsi="Arial" w:cs="Arial"/>
                        <w:sz w:val="16"/>
                        <w:szCs w:val="16"/>
                      </w:rPr>
                      <w:t>The Current Value of the Policy</w:t>
                    </w:r>
                    <w:r>
                      <w:rPr>
                        <w:rStyle w:val="FootnoteReference"/>
                        <w:rFonts w:ascii="Arial" w:hAnsi="Arial" w:cs="Arial"/>
                        <w:sz w:val="16"/>
                        <w:szCs w:val="16"/>
                      </w:rPr>
                      <w:footnoteReference w:id="10"/>
                    </w:r>
                  </w:p>
                </w:tc>
                <w:tc>
                  <w:tcPr>
                    <w:tcW w:w="935" w:type="dxa"/>
                  </w:tcPr>
                  <w:p w14:paraId="05533CDF" w14:textId="77777777" w:rsidR="00166D35" w:rsidRPr="00B30F3B" w:rsidRDefault="00166D35" w:rsidP="00166D35">
                    <w:pPr>
                      <w:rPr>
                        <w:rFonts w:ascii="Arial" w:hAnsi="Arial" w:cs="Arial"/>
                        <w:sz w:val="16"/>
                        <w:szCs w:val="16"/>
                      </w:rPr>
                    </w:pPr>
                    <w:r w:rsidRPr="00B30F3B">
                      <w:rPr>
                        <w:rFonts w:ascii="Arial" w:hAnsi="Arial" w:cs="Arial"/>
                        <w:sz w:val="16"/>
                        <w:szCs w:val="16"/>
                      </w:rPr>
                      <w:t>Surrender Value of the Policy</w:t>
                    </w:r>
                  </w:p>
                </w:tc>
                <w:tc>
                  <w:tcPr>
                    <w:tcW w:w="1303" w:type="dxa"/>
                  </w:tcPr>
                  <w:p w14:paraId="6552DC2D" w14:textId="77777777" w:rsidR="00166D35" w:rsidRPr="00B30F3B" w:rsidRDefault="00166D35" w:rsidP="00166D35">
                    <w:pPr>
                      <w:rPr>
                        <w:rFonts w:ascii="Arial" w:hAnsi="Arial" w:cs="Arial"/>
                        <w:sz w:val="16"/>
                        <w:szCs w:val="16"/>
                      </w:rPr>
                    </w:pPr>
                    <w:r w:rsidRPr="00B30F3B">
                      <w:rPr>
                        <w:rFonts w:ascii="Arial" w:hAnsi="Arial" w:cs="Arial"/>
                        <w:sz w:val="16"/>
                        <w:szCs w:val="16"/>
                      </w:rPr>
                      <w:t>The Value of the Policy at the previous communication</w:t>
                    </w:r>
                  </w:p>
                </w:tc>
                <w:tc>
                  <w:tcPr>
                    <w:tcW w:w="944" w:type="dxa"/>
                  </w:tcPr>
                  <w:p w14:paraId="36D587C9" w14:textId="77777777" w:rsidR="00166D35" w:rsidRPr="00B30F3B" w:rsidRDefault="00166D35" w:rsidP="00166D35">
                    <w:pPr>
                      <w:rPr>
                        <w:rFonts w:ascii="Arial" w:hAnsi="Arial" w:cs="Arial"/>
                        <w:sz w:val="16"/>
                        <w:szCs w:val="16"/>
                      </w:rPr>
                    </w:pPr>
                    <w:r w:rsidRPr="00B30F3B">
                      <w:rPr>
                        <w:rFonts w:ascii="Arial" w:hAnsi="Arial" w:cs="Arial"/>
                        <w:sz w:val="16"/>
                        <w:szCs w:val="16"/>
                      </w:rPr>
                      <w:t>Premiums paid in the last year</w:t>
                    </w:r>
                  </w:p>
                </w:tc>
                <w:tc>
                  <w:tcPr>
                    <w:tcW w:w="1033" w:type="dxa"/>
                  </w:tcPr>
                  <w:p w14:paraId="38C6F0E7" w14:textId="77777777" w:rsidR="00166D35" w:rsidRPr="00B30F3B" w:rsidRDefault="00166D35" w:rsidP="00166D35">
                    <w:pPr>
                      <w:rPr>
                        <w:rFonts w:ascii="Arial" w:hAnsi="Arial" w:cs="Arial"/>
                        <w:sz w:val="16"/>
                        <w:szCs w:val="16"/>
                      </w:rPr>
                    </w:pPr>
                    <w:r w:rsidRPr="00B30F3B">
                      <w:rPr>
                        <w:rFonts w:ascii="Arial" w:hAnsi="Arial" w:cs="Arial"/>
                        <w:sz w:val="16"/>
                        <w:szCs w:val="16"/>
                      </w:rPr>
                      <w:t>Informing customer benefit is not guaranteed</w:t>
                    </w:r>
                  </w:p>
                </w:tc>
                <w:tc>
                  <w:tcPr>
                    <w:tcW w:w="944" w:type="dxa"/>
                  </w:tcPr>
                  <w:p w14:paraId="4314A150" w14:textId="77777777" w:rsidR="00166D35" w:rsidRPr="00B30F3B" w:rsidRDefault="00166D35" w:rsidP="00166D35">
                    <w:pPr>
                      <w:rPr>
                        <w:rFonts w:ascii="Arial" w:hAnsi="Arial" w:cs="Arial"/>
                        <w:sz w:val="16"/>
                        <w:szCs w:val="16"/>
                      </w:rPr>
                    </w:pPr>
                    <w:r w:rsidRPr="00B30F3B">
                      <w:rPr>
                        <w:rFonts w:ascii="Arial" w:hAnsi="Arial" w:cs="Arial"/>
                        <w:sz w:val="16"/>
                        <w:szCs w:val="16"/>
                      </w:rPr>
                      <w:t>Indicative level of charges (in £ terms) applicable to the policy</w:t>
                    </w:r>
                  </w:p>
                </w:tc>
                <w:tc>
                  <w:tcPr>
                    <w:tcW w:w="944" w:type="dxa"/>
                  </w:tcPr>
                  <w:p w14:paraId="097D5A46" w14:textId="77777777" w:rsidR="00166D35" w:rsidRPr="00B30F3B" w:rsidRDefault="00166D35" w:rsidP="00166D35">
                    <w:pPr>
                      <w:rPr>
                        <w:rFonts w:ascii="Arial" w:hAnsi="Arial" w:cs="Arial"/>
                        <w:sz w:val="16"/>
                        <w:szCs w:val="16"/>
                      </w:rPr>
                    </w:pPr>
                    <w:r w:rsidRPr="00B30F3B">
                      <w:rPr>
                        <w:rFonts w:ascii="Arial" w:hAnsi="Arial" w:cs="Arial"/>
                        <w:sz w:val="16"/>
                        <w:szCs w:val="16"/>
                      </w:rPr>
                      <w:t>Where a policy has a guarantee</w:t>
                    </w:r>
                  </w:p>
                </w:tc>
                <w:tc>
                  <w:tcPr>
                    <w:tcW w:w="1008" w:type="dxa"/>
                  </w:tcPr>
                  <w:p w14:paraId="28FCEB99" w14:textId="77777777" w:rsidR="00166D35" w:rsidRPr="00B30F3B" w:rsidRDefault="00166D35" w:rsidP="00166D35">
                    <w:pPr>
                      <w:rPr>
                        <w:rFonts w:ascii="Arial" w:hAnsi="Arial" w:cs="Arial"/>
                        <w:sz w:val="16"/>
                        <w:szCs w:val="16"/>
                      </w:rPr>
                    </w:pPr>
                    <w:r w:rsidRPr="00B30F3B">
                      <w:rPr>
                        <w:rFonts w:ascii="Arial" w:hAnsi="Arial" w:cs="Arial"/>
                        <w:sz w:val="16"/>
                        <w:szCs w:val="16"/>
                      </w:rPr>
                      <w:t>Where a policy has (additional) life cover</w:t>
                    </w:r>
                  </w:p>
                </w:tc>
              </w:tr>
              <w:tr w:rsidR="00166D35" w:rsidRPr="004850A0" w14:paraId="46489F1A" w14:textId="77777777" w:rsidTr="00166D35">
                <w:tc>
                  <w:tcPr>
                    <w:tcW w:w="1150" w:type="dxa"/>
                  </w:tcPr>
                  <w:p w14:paraId="02E7F85A" w14:textId="77777777" w:rsidR="00166D35" w:rsidRPr="00B30F3B" w:rsidRDefault="00166D35" w:rsidP="00166D35">
                    <w:pPr>
                      <w:rPr>
                        <w:rFonts w:ascii="Arial" w:hAnsi="Arial" w:cs="Arial"/>
                        <w:sz w:val="16"/>
                        <w:szCs w:val="16"/>
                      </w:rPr>
                    </w:pPr>
                    <w:r w:rsidRPr="00B30F3B">
                      <w:rPr>
                        <w:rFonts w:ascii="Arial" w:hAnsi="Arial" w:cs="Arial"/>
                        <w:sz w:val="16"/>
                        <w:szCs w:val="16"/>
                      </w:rPr>
                      <w:t>Conventional</w:t>
                    </w:r>
                  </w:p>
                </w:tc>
                <w:tc>
                  <w:tcPr>
                    <w:tcW w:w="755" w:type="dxa"/>
                    <w:shd w:val="clear" w:color="auto" w:fill="00B050"/>
                  </w:tcPr>
                  <w:p w14:paraId="182F41A8" w14:textId="77777777" w:rsidR="00166D35" w:rsidRPr="00B30F3B" w:rsidRDefault="00166D35" w:rsidP="00166D35">
                    <w:pPr>
                      <w:rPr>
                        <w:rFonts w:ascii="Arial" w:hAnsi="Arial" w:cs="Arial"/>
                        <w:sz w:val="16"/>
                        <w:szCs w:val="16"/>
                      </w:rPr>
                    </w:pPr>
                    <w:r w:rsidRPr="00B30F3B">
                      <w:rPr>
                        <w:rFonts w:ascii="Arial" w:hAnsi="Arial" w:cs="Arial"/>
                        <w:sz w:val="16"/>
                        <w:szCs w:val="16"/>
                      </w:rPr>
                      <w:t>100%</w:t>
                    </w:r>
                  </w:p>
                </w:tc>
                <w:tc>
                  <w:tcPr>
                    <w:tcW w:w="935" w:type="dxa"/>
                    <w:shd w:val="clear" w:color="auto" w:fill="FF0000"/>
                  </w:tcPr>
                  <w:p w14:paraId="67F67CE8" w14:textId="77777777" w:rsidR="00166D35" w:rsidRPr="00B30F3B" w:rsidRDefault="00166D35" w:rsidP="00166D35">
                    <w:pPr>
                      <w:rPr>
                        <w:rFonts w:ascii="Arial" w:hAnsi="Arial" w:cs="Arial"/>
                        <w:sz w:val="16"/>
                        <w:szCs w:val="16"/>
                      </w:rPr>
                    </w:pPr>
                    <w:r w:rsidRPr="00B30F3B">
                      <w:rPr>
                        <w:rFonts w:ascii="Arial" w:hAnsi="Arial" w:cs="Arial"/>
                        <w:sz w:val="16"/>
                        <w:szCs w:val="16"/>
                      </w:rPr>
                      <w:t>8%</w:t>
                    </w:r>
                  </w:p>
                </w:tc>
                <w:tc>
                  <w:tcPr>
                    <w:tcW w:w="1303" w:type="dxa"/>
                  </w:tcPr>
                  <w:p w14:paraId="7622CDEF" w14:textId="77777777" w:rsidR="00166D35" w:rsidRPr="00B30F3B" w:rsidRDefault="00166D35" w:rsidP="00166D35">
                    <w:pPr>
                      <w:rPr>
                        <w:rFonts w:ascii="Arial" w:hAnsi="Arial" w:cs="Arial"/>
                        <w:sz w:val="16"/>
                        <w:szCs w:val="16"/>
                      </w:rPr>
                    </w:pPr>
                    <w:r w:rsidRPr="00B30F3B">
                      <w:rPr>
                        <w:rFonts w:ascii="Arial" w:hAnsi="Arial" w:cs="Arial"/>
                        <w:sz w:val="16"/>
                        <w:szCs w:val="16"/>
                      </w:rPr>
                      <w:t>Not directly applicable</w:t>
                    </w:r>
                  </w:p>
                </w:tc>
                <w:tc>
                  <w:tcPr>
                    <w:tcW w:w="944" w:type="dxa"/>
                    <w:shd w:val="clear" w:color="auto" w:fill="FFC000"/>
                  </w:tcPr>
                  <w:p w14:paraId="30433B1E" w14:textId="77777777" w:rsidR="00166D35" w:rsidRPr="00B30F3B" w:rsidRDefault="00166D35" w:rsidP="00166D35">
                    <w:pPr>
                      <w:rPr>
                        <w:rFonts w:ascii="Arial" w:hAnsi="Arial" w:cs="Arial"/>
                        <w:sz w:val="16"/>
                        <w:szCs w:val="16"/>
                      </w:rPr>
                    </w:pPr>
                    <w:r w:rsidRPr="00B30F3B">
                      <w:rPr>
                        <w:rFonts w:ascii="Arial" w:hAnsi="Arial" w:cs="Arial"/>
                        <w:sz w:val="16"/>
                        <w:szCs w:val="16"/>
                      </w:rPr>
                      <w:t>25% showed monthly premium</w:t>
                    </w:r>
                  </w:p>
                </w:tc>
                <w:tc>
                  <w:tcPr>
                    <w:tcW w:w="1033" w:type="dxa"/>
                    <w:shd w:val="clear" w:color="auto" w:fill="FFFF00"/>
                  </w:tcPr>
                  <w:p w14:paraId="1E3FB9F4" w14:textId="77777777" w:rsidR="00166D35" w:rsidRPr="00B30F3B" w:rsidRDefault="00166D35" w:rsidP="00166D35">
                    <w:pPr>
                      <w:rPr>
                        <w:rFonts w:ascii="Arial" w:hAnsi="Arial" w:cs="Arial"/>
                        <w:sz w:val="16"/>
                        <w:szCs w:val="16"/>
                      </w:rPr>
                    </w:pPr>
                    <w:r w:rsidRPr="00B30F3B">
                      <w:rPr>
                        <w:rFonts w:ascii="Arial" w:hAnsi="Arial" w:cs="Arial"/>
                        <w:sz w:val="16"/>
                        <w:szCs w:val="16"/>
                      </w:rPr>
                      <w:t>58%</w:t>
                    </w:r>
                  </w:p>
                </w:tc>
                <w:tc>
                  <w:tcPr>
                    <w:tcW w:w="944" w:type="dxa"/>
                    <w:shd w:val="clear" w:color="auto" w:fill="FFC000"/>
                  </w:tcPr>
                  <w:p w14:paraId="0DCD8722" w14:textId="77777777" w:rsidR="00166D35" w:rsidRPr="00B30F3B" w:rsidRDefault="00166D35" w:rsidP="00166D35">
                    <w:pPr>
                      <w:rPr>
                        <w:rFonts w:ascii="Arial" w:hAnsi="Arial" w:cs="Arial"/>
                        <w:sz w:val="16"/>
                        <w:szCs w:val="16"/>
                      </w:rPr>
                    </w:pPr>
                    <w:r w:rsidRPr="00B30F3B">
                      <w:rPr>
                        <w:rFonts w:ascii="Arial" w:hAnsi="Arial" w:cs="Arial"/>
                        <w:sz w:val="16"/>
                        <w:szCs w:val="16"/>
                      </w:rPr>
                      <w:t>33% made mention of charges</w:t>
                    </w:r>
                  </w:p>
                </w:tc>
                <w:tc>
                  <w:tcPr>
                    <w:tcW w:w="944" w:type="dxa"/>
                    <w:shd w:val="clear" w:color="auto" w:fill="00B050"/>
                  </w:tcPr>
                  <w:p w14:paraId="20C5CD63" w14:textId="77777777" w:rsidR="00166D35" w:rsidRPr="00B30F3B" w:rsidRDefault="00166D35" w:rsidP="00166D35">
                    <w:pPr>
                      <w:rPr>
                        <w:rFonts w:ascii="Arial" w:hAnsi="Arial" w:cs="Arial"/>
                        <w:sz w:val="16"/>
                        <w:szCs w:val="16"/>
                      </w:rPr>
                    </w:pPr>
                    <w:r w:rsidRPr="00B30F3B">
                      <w:rPr>
                        <w:rFonts w:ascii="Arial" w:hAnsi="Arial" w:cs="Arial"/>
                        <w:sz w:val="16"/>
                        <w:szCs w:val="16"/>
                      </w:rPr>
                      <w:t>100%</w:t>
                    </w:r>
                  </w:p>
                </w:tc>
                <w:tc>
                  <w:tcPr>
                    <w:tcW w:w="1008" w:type="dxa"/>
                    <w:shd w:val="clear" w:color="auto" w:fill="FFFF00"/>
                  </w:tcPr>
                  <w:p w14:paraId="5F6524FB" w14:textId="77777777" w:rsidR="00166D35" w:rsidRPr="00B30F3B" w:rsidRDefault="00166D35" w:rsidP="00166D35">
                    <w:pPr>
                      <w:rPr>
                        <w:rFonts w:ascii="Arial" w:hAnsi="Arial" w:cs="Arial"/>
                        <w:sz w:val="16"/>
                        <w:szCs w:val="16"/>
                      </w:rPr>
                    </w:pPr>
                    <w:r w:rsidRPr="00B30F3B">
                      <w:rPr>
                        <w:rFonts w:ascii="Arial" w:hAnsi="Arial" w:cs="Arial"/>
                        <w:sz w:val="16"/>
                        <w:szCs w:val="16"/>
                      </w:rPr>
                      <w:t>67%</w:t>
                    </w:r>
                  </w:p>
                </w:tc>
              </w:tr>
              <w:tr w:rsidR="00166D35" w:rsidRPr="004850A0" w14:paraId="3D547D46" w14:textId="77777777" w:rsidTr="00166D35">
                <w:tc>
                  <w:tcPr>
                    <w:tcW w:w="1150" w:type="dxa"/>
                  </w:tcPr>
                  <w:p w14:paraId="6B0C9431" w14:textId="77777777" w:rsidR="00166D35" w:rsidRPr="00B30F3B" w:rsidRDefault="00166D35" w:rsidP="00166D35">
                    <w:pPr>
                      <w:rPr>
                        <w:rFonts w:ascii="Arial" w:hAnsi="Arial" w:cs="Arial"/>
                        <w:sz w:val="16"/>
                        <w:szCs w:val="16"/>
                      </w:rPr>
                    </w:pPr>
                    <w:r w:rsidRPr="00B30F3B">
                      <w:rPr>
                        <w:rFonts w:ascii="Arial" w:hAnsi="Arial" w:cs="Arial"/>
                        <w:sz w:val="16"/>
                        <w:szCs w:val="16"/>
                      </w:rPr>
                      <w:t>Pensions</w:t>
                    </w:r>
                  </w:p>
                </w:tc>
                <w:tc>
                  <w:tcPr>
                    <w:tcW w:w="755" w:type="dxa"/>
                    <w:shd w:val="clear" w:color="auto" w:fill="00B050"/>
                  </w:tcPr>
                  <w:p w14:paraId="5C9DFD48" w14:textId="77777777" w:rsidR="00166D35" w:rsidRPr="00B30F3B" w:rsidRDefault="00166D35" w:rsidP="00166D35">
                    <w:pPr>
                      <w:rPr>
                        <w:rFonts w:ascii="Arial" w:hAnsi="Arial" w:cs="Arial"/>
                        <w:sz w:val="16"/>
                        <w:szCs w:val="16"/>
                      </w:rPr>
                    </w:pPr>
                    <w:r w:rsidRPr="00B30F3B">
                      <w:rPr>
                        <w:rFonts w:ascii="Arial" w:hAnsi="Arial" w:cs="Arial"/>
                        <w:sz w:val="16"/>
                        <w:szCs w:val="16"/>
                      </w:rPr>
                      <w:t>100%</w:t>
                    </w:r>
                  </w:p>
                </w:tc>
                <w:tc>
                  <w:tcPr>
                    <w:tcW w:w="935" w:type="dxa"/>
                    <w:shd w:val="clear" w:color="auto" w:fill="92D050"/>
                  </w:tcPr>
                  <w:p w14:paraId="340A9922" w14:textId="77777777" w:rsidR="00166D35" w:rsidRPr="00B30F3B" w:rsidRDefault="00166D35" w:rsidP="00166D35">
                    <w:pPr>
                      <w:rPr>
                        <w:rFonts w:ascii="Arial" w:hAnsi="Arial" w:cs="Arial"/>
                        <w:sz w:val="16"/>
                        <w:szCs w:val="16"/>
                      </w:rPr>
                    </w:pPr>
                    <w:r w:rsidRPr="00B30F3B">
                      <w:rPr>
                        <w:rFonts w:ascii="Arial" w:hAnsi="Arial" w:cs="Arial"/>
                        <w:sz w:val="16"/>
                        <w:szCs w:val="16"/>
                      </w:rPr>
                      <w:t>77%</w:t>
                    </w:r>
                  </w:p>
                </w:tc>
                <w:tc>
                  <w:tcPr>
                    <w:tcW w:w="1303" w:type="dxa"/>
                    <w:shd w:val="clear" w:color="auto" w:fill="E36C0A" w:themeFill="accent6" w:themeFillShade="BF"/>
                  </w:tcPr>
                  <w:p w14:paraId="15A18F5C" w14:textId="77777777" w:rsidR="00166D35" w:rsidRPr="00B30F3B" w:rsidRDefault="00166D35" w:rsidP="00166D35">
                    <w:pPr>
                      <w:rPr>
                        <w:rFonts w:ascii="Arial" w:hAnsi="Arial" w:cs="Arial"/>
                        <w:sz w:val="16"/>
                        <w:szCs w:val="16"/>
                      </w:rPr>
                    </w:pPr>
                    <w:r w:rsidRPr="00B30F3B">
                      <w:rPr>
                        <w:rFonts w:ascii="Arial" w:hAnsi="Arial" w:cs="Arial"/>
                        <w:sz w:val="16"/>
                        <w:szCs w:val="16"/>
                      </w:rPr>
                      <w:t>31%</w:t>
                    </w:r>
                  </w:p>
                </w:tc>
                <w:tc>
                  <w:tcPr>
                    <w:tcW w:w="944" w:type="dxa"/>
                    <w:shd w:val="clear" w:color="auto" w:fill="FFC000"/>
                  </w:tcPr>
                  <w:p w14:paraId="72058660" w14:textId="77777777" w:rsidR="00166D35" w:rsidRPr="00B30F3B" w:rsidRDefault="00166D35" w:rsidP="00166D35">
                    <w:pPr>
                      <w:rPr>
                        <w:rFonts w:ascii="Arial" w:hAnsi="Arial" w:cs="Arial"/>
                        <w:sz w:val="16"/>
                        <w:szCs w:val="16"/>
                      </w:rPr>
                    </w:pPr>
                    <w:r w:rsidRPr="00B30F3B">
                      <w:rPr>
                        <w:rFonts w:ascii="Arial" w:hAnsi="Arial" w:cs="Arial"/>
                        <w:sz w:val="16"/>
                        <w:szCs w:val="16"/>
                      </w:rPr>
                      <w:t>38%</w:t>
                    </w:r>
                  </w:p>
                </w:tc>
                <w:tc>
                  <w:tcPr>
                    <w:tcW w:w="1033" w:type="dxa"/>
                    <w:shd w:val="clear" w:color="auto" w:fill="92D050"/>
                  </w:tcPr>
                  <w:p w14:paraId="5900F56D" w14:textId="77777777" w:rsidR="00166D35" w:rsidRPr="00B30F3B" w:rsidRDefault="00166D35" w:rsidP="00166D35">
                    <w:pPr>
                      <w:rPr>
                        <w:rFonts w:ascii="Arial" w:hAnsi="Arial" w:cs="Arial"/>
                        <w:sz w:val="16"/>
                        <w:szCs w:val="16"/>
                      </w:rPr>
                    </w:pPr>
                    <w:r w:rsidRPr="00B30F3B">
                      <w:rPr>
                        <w:rFonts w:ascii="Arial" w:hAnsi="Arial" w:cs="Arial"/>
                        <w:sz w:val="16"/>
                        <w:szCs w:val="16"/>
                      </w:rPr>
                      <w:t>77%</w:t>
                    </w:r>
                  </w:p>
                </w:tc>
                <w:tc>
                  <w:tcPr>
                    <w:tcW w:w="944" w:type="dxa"/>
                    <w:shd w:val="clear" w:color="auto" w:fill="FFC000"/>
                  </w:tcPr>
                  <w:p w14:paraId="14D44DD0" w14:textId="77777777" w:rsidR="00166D35" w:rsidRPr="00B30F3B" w:rsidRDefault="00166D35" w:rsidP="00166D35">
                    <w:pPr>
                      <w:rPr>
                        <w:rFonts w:ascii="Arial" w:hAnsi="Arial" w:cs="Arial"/>
                        <w:sz w:val="16"/>
                        <w:szCs w:val="16"/>
                      </w:rPr>
                    </w:pPr>
                    <w:r w:rsidRPr="00B30F3B">
                      <w:rPr>
                        <w:rFonts w:ascii="Arial" w:hAnsi="Arial" w:cs="Arial"/>
                        <w:sz w:val="16"/>
                        <w:szCs w:val="16"/>
                      </w:rPr>
                      <w:t>33% made mention of charges</w:t>
                    </w:r>
                  </w:p>
                </w:tc>
                <w:tc>
                  <w:tcPr>
                    <w:tcW w:w="944" w:type="dxa"/>
                    <w:shd w:val="clear" w:color="auto" w:fill="FFFF00"/>
                  </w:tcPr>
                  <w:p w14:paraId="2FB9D7AA" w14:textId="77777777" w:rsidR="00166D35" w:rsidRPr="00B30F3B" w:rsidRDefault="00166D35" w:rsidP="00166D35">
                    <w:pPr>
                      <w:rPr>
                        <w:rFonts w:ascii="Arial" w:hAnsi="Arial" w:cs="Arial"/>
                        <w:sz w:val="16"/>
                        <w:szCs w:val="16"/>
                      </w:rPr>
                    </w:pPr>
                    <w:r w:rsidRPr="00B30F3B">
                      <w:rPr>
                        <w:rFonts w:ascii="Arial" w:hAnsi="Arial" w:cs="Arial"/>
                        <w:sz w:val="16"/>
                        <w:szCs w:val="16"/>
                      </w:rPr>
                      <w:t>62%</w:t>
                    </w:r>
                  </w:p>
                </w:tc>
                <w:tc>
                  <w:tcPr>
                    <w:tcW w:w="1008" w:type="dxa"/>
                    <w:shd w:val="clear" w:color="auto" w:fill="FFC000"/>
                  </w:tcPr>
                  <w:p w14:paraId="079369F4" w14:textId="77777777" w:rsidR="00166D35" w:rsidRPr="00B30F3B" w:rsidRDefault="00166D35" w:rsidP="00166D35">
                    <w:pPr>
                      <w:rPr>
                        <w:rFonts w:ascii="Arial" w:hAnsi="Arial" w:cs="Arial"/>
                        <w:sz w:val="16"/>
                        <w:szCs w:val="16"/>
                      </w:rPr>
                    </w:pPr>
                    <w:r w:rsidRPr="00B30F3B">
                      <w:rPr>
                        <w:rFonts w:ascii="Arial" w:hAnsi="Arial" w:cs="Arial"/>
                        <w:sz w:val="16"/>
                        <w:szCs w:val="16"/>
                      </w:rPr>
                      <w:t>38%</w:t>
                    </w:r>
                  </w:p>
                </w:tc>
              </w:tr>
              <w:tr w:rsidR="00166D35" w:rsidRPr="004850A0" w14:paraId="57BA4874" w14:textId="77777777" w:rsidTr="00166D35">
                <w:tc>
                  <w:tcPr>
                    <w:tcW w:w="1150" w:type="dxa"/>
                  </w:tcPr>
                  <w:p w14:paraId="6D56B2C7" w14:textId="77777777" w:rsidR="00166D35" w:rsidRPr="00B30F3B" w:rsidRDefault="00166D35" w:rsidP="00166D35">
                    <w:pPr>
                      <w:rPr>
                        <w:rFonts w:ascii="Arial" w:hAnsi="Arial" w:cs="Arial"/>
                        <w:sz w:val="16"/>
                        <w:szCs w:val="16"/>
                      </w:rPr>
                    </w:pPr>
                    <w:r w:rsidRPr="00B30F3B">
                      <w:rPr>
                        <w:rFonts w:ascii="Arial" w:hAnsi="Arial" w:cs="Arial"/>
                        <w:sz w:val="16"/>
                        <w:szCs w:val="16"/>
                      </w:rPr>
                      <w:t>Investment / Savings</w:t>
                    </w:r>
                  </w:p>
                </w:tc>
                <w:tc>
                  <w:tcPr>
                    <w:tcW w:w="755" w:type="dxa"/>
                    <w:shd w:val="clear" w:color="auto" w:fill="00B050"/>
                  </w:tcPr>
                  <w:p w14:paraId="32158005" w14:textId="77777777" w:rsidR="00166D35" w:rsidRPr="00B30F3B" w:rsidRDefault="00166D35" w:rsidP="00166D35">
                    <w:pPr>
                      <w:rPr>
                        <w:rFonts w:ascii="Arial" w:hAnsi="Arial" w:cs="Arial"/>
                        <w:sz w:val="16"/>
                        <w:szCs w:val="16"/>
                      </w:rPr>
                    </w:pPr>
                    <w:r w:rsidRPr="00B30F3B">
                      <w:rPr>
                        <w:rFonts w:ascii="Arial" w:hAnsi="Arial" w:cs="Arial"/>
                        <w:sz w:val="16"/>
                        <w:szCs w:val="16"/>
                      </w:rPr>
                      <w:t>100%</w:t>
                    </w:r>
                  </w:p>
                </w:tc>
                <w:tc>
                  <w:tcPr>
                    <w:tcW w:w="935" w:type="dxa"/>
                    <w:shd w:val="clear" w:color="auto" w:fill="00B050"/>
                  </w:tcPr>
                  <w:p w14:paraId="7DDCFFE0" w14:textId="77777777" w:rsidR="00166D35" w:rsidRPr="00B30F3B" w:rsidRDefault="00166D35" w:rsidP="00166D35">
                    <w:pPr>
                      <w:rPr>
                        <w:rFonts w:ascii="Arial" w:hAnsi="Arial" w:cs="Arial"/>
                        <w:sz w:val="16"/>
                        <w:szCs w:val="16"/>
                      </w:rPr>
                    </w:pPr>
                    <w:r w:rsidRPr="00B30F3B">
                      <w:rPr>
                        <w:rFonts w:ascii="Arial" w:hAnsi="Arial" w:cs="Arial"/>
                        <w:sz w:val="16"/>
                        <w:szCs w:val="16"/>
                      </w:rPr>
                      <w:t>100%</w:t>
                    </w:r>
                  </w:p>
                </w:tc>
                <w:tc>
                  <w:tcPr>
                    <w:tcW w:w="1303" w:type="dxa"/>
                    <w:shd w:val="clear" w:color="auto" w:fill="92D050"/>
                  </w:tcPr>
                  <w:p w14:paraId="22514031" w14:textId="77777777" w:rsidR="00166D35" w:rsidRPr="00B30F3B" w:rsidRDefault="00166D35" w:rsidP="00166D35">
                    <w:pPr>
                      <w:rPr>
                        <w:rFonts w:ascii="Arial" w:hAnsi="Arial" w:cs="Arial"/>
                        <w:sz w:val="16"/>
                        <w:szCs w:val="16"/>
                      </w:rPr>
                    </w:pPr>
                    <w:r w:rsidRPr="00B30F3B">
                      <w:rPr>
                        <w:rFonts w:ascii="Arial" w:hAnsi="Arial" w:cs="Arial"/>
                        <w:sz w:val="16"/>
                        <w:szCs w:val="16"/>
                      </w:rPr>
                      <w:t>88%</w:t>
                    </w:r>
                  </w:p>
                </w:tc>
                <w:tc>
                  <w:tcPr>
                    <w:tcW w:w="944" w:type="dxa"/>
                    <w:shd w:val="clear" w:color="auto" w:fill="FFC000"/>
                  </w:tcPr>
                  <w:p w14:paraId="22186F8B" w14:textId="77777777" w:rsidR="00166D35" w:rsidRPr="00B30F3B" w:rsidRDefault="00166D35" w:rsidP="00166D35">
                    <w:pPr>
                      <w:rPr>
                        <w:rFonts w:ascii="Arial" w:hAnsi="Arial" w:cs="Arial"/>
                        <w:sz w:val="16"/>
                        <w:szCs w:val="16"/>
                      </w:rPr>
                    </w:pPr>
                    <w:r w:rsidRPr="00B30F3B">
                      <w:rPr>
                        <w:rFonts w:ascii="Arial" w:hAnsi="Arial" w:cs="Arial"/>
                        <w:sz w:val="16"/>
                        <w:szCs w:val="16"/>
                      </w:rPr>
                      <w:t>38%</w:t>
                    </w:r>
                  </w:p>
                </w:tc>
                <w:tc>
                  <w:tcPr>
                    <w:tcW w:w="1033" w:type="dxa"/>
                    <w:shd w:val="clear" w:color="auto" w:fill="E36C0A" w:themeFill="accent6" w:themeFillShade="BF"/>
                  </w:tcPr>
                  <w:p w14:paraId="1E7BF5E0" w14:textId="77777777" w:rsidR="00166D35" w:rsidRPr="00B30F3B" w:rsidRDefault="00166D35" w:rsidP="00166D35">
                    <w:pPr>
                      <w:rPr>
                        <w:rFonts w:ascii="Arial" w:hAnsi="Arial" w:cs="Arial"/>
                        <w:sz w:val="16"/>
                        <w:szCs w:val="16"/>
                      </w:rPr>
                    </w:pPr>
                    <w:r w:rsidRPr="00B30F3B">
                      <w:rPr>
                        <w:rFonts w:ascii="Arial" w:hAnsi="Arial" w:cs="Arial"/>
                        <w:sz w:val="16"/>
                        <w:szCs w:val="16"/>
                      </w:rPr>
                      <w:t>50%</w:t>
                    </w:r>
                  </w:p>
                </w:tc>
                <w:tc>
                  <w:tcPr>
                    <w:tcW w:w="944" w:type="dxa"/>
                    <w:shd w:val="clear" w:color="auto" w:fill="E36C0A" w:themeFill="accent6" w:themeFillShade="BF"/>
                  </w:tcPr>
                  <w:p w14:paraId="149445B4" w14:textId="77777777" w:rsidR="00166D35" w:rsidRPr="00B30F3B" w:rsidRDefault="00166D35" w:rsidP="00166D35">
                    <w:pPr>
                      <w:rPr>
                        <w:rFonts w:ascii="Arial" w:hAnsi="Arial" w:cs="Arial"/>
                        <w:sz w:val="16"/>
                        <w:szCs w:val="16"/>
                      </w:rPr>
                    </w:pPr>
                    <w:r w:rsidRPr="00B30F3B">
                      <w:rPr>
                        <w:rFonts w:ascii="Arial" w:hAnsi="Arial" w:cs="Arial"/>
                        <w:sz w:val="16"/>
                        <w:szCs w:val="16"/>
                      </w:rPr>
                      <w:t>50%</w:t>
                    </w:r>
                  </w:p>
                </w:tc>
                <w:tc>
                  <w:tcPr>
                    <w:tcW w:w="944" w:type="dxa"/>
                    <w:shd w:val="clear" w:color="auto" w:fill="FFFF00"/>
                  </w:tcPr>
                  <w:p w14:paraId="1742CE21" w14:textId="77777777" w:rsidR="00166D35" w:rsidRPr="00B30F3B" w:rsidRDefault="00166D35" w:rsidP="00166D35">
                    <w:pPr>
                      <w:rPr>
                        <w:rFonts w:ascii="Arial" w:hAnsi="Arial" w:cs="Arial"/>
                        <w:sz w:val="16"/>
                        <w:szCs w:val="16"/>
                      </w:rPr>
                    </w:pPr>
                    <w:r w:rsidRPr="00B30F3B">
                      <w:rPr>
                        <w:rFonts w:ascii="Arial" w:hAnsi="Arial" w:cs="Arial"/>
                        <w:sz w:val="16"/>
                        <w:szCs w:val="16"/>
                      </w:rPr>
                      <w:t>63%</w:t>
                    </w:r>
                  </w:p>
                </w:tc>
                <w:tc>
                  <w:tcPr>
                    <w:tcW w:w="1008" w:type="dxa"/>
                    <w:shd w:val="clear" w:color="auto" w:fill="92D050"/>
                  </w:tcPr>
                  <w:p w14:paraId="78EA8341" w14:textId="77777777" w:rsidR="00166D35" w:rsidRPr="00B30F3B" w:rsidRDefault="00166D35" w:rsidP="00166D35">
                    <w:pPr>
                      <w:rPr>
                        <w:rFonts w:ascii="Arial" w:hAnsi="Arial" w:cs="Arial"/>
                        <w:sz w:val="16"/>
                        <w:szCs w:val="16"/>
                      </w:rPr>
                    </w:pPr>
                    <w:r w:rsidRPr="00B30F3B">
                      <w:rPr>
                        <w:rFonts w:ascii="Arial" w:hAnsi="Arial" w:cs="Arial"/>
                        <w:sz w:val="16"/>
                        <w:szCs w:val="16"/>
                      </w:rPr>
                      <w:t>88%</w:t>
                    </w:r>
                  </w:p>
                </w:tc>
              </w:tr>
              <w:tr w:rsidR="00166D35" w:rsidRPr="004850A0" w14:paraId="6B903376" w14:textId="77777777" w:rsidTr="00166D35">
                <w:tc>
                  <w:tcPr>
                    <w:tcW w:w="1150" w:type="dxa"/>
                  </w:tcPr>
                  <w:p w14:paraId="207A5D17" w14:textId="77777777" w:rsidR="00166D35" w:rsidRPr="00B30F3B" w:rsidRDefault="00166D35" w:rsidP="00166D35">
                    <w:pPr>
                      <w:rPr>
                        <w:rFonts w:ascii="Arial" w:hAnsi="Arial" w:cs="Arial"/>
                        <w:sz w:val="16"/>
                        <w:szCs w:val="16"/>
                      </w:rPr>
                    </w:pPr>
                    <w:r w:rsidRPr="00B30F3B">
                      <w:rPr>
                        <w:rFonts w:ascii="Arial" w:hAnsi="Arial" w:cs="Arial"/>
                        <w:sz w:val="16"/>
                        <w:szCs w:val="16"/>
                      </w:rPr>
                      <w:t>Total</w:t>
                    </w:r>
                  </w:p>
                </w:tc>
                <w:tc>
                  <w:tcPr>
                    <w:tcW w:w="755" w:type="dxa"/>
                  </w:tcPr>
                  <w:p w14:paraId="1151F1C2" w14:textId="77777777" w:rsidR="00166D35" w:rsidRPr="00B30F3B" w:rsidRDefault="00166D35" w:rsidP="00166D35">
                    <w:pPr>
                      <w:rPr>
                        <w:rFonts w:ascii="Arial" w:hAnsi="Arial" w:cs="Arial"/>
                        <w:sz w:val="16"/>
                        <w:szCs w:val="16"/>
                      </w:rPr>
                    </w:pPr>
                    <w:r w:rsidRPr="00B30F3B">
                      <w:rPr>
                        <w:rFonts w:ascii="Arial" w:hAnsi="Arial" w:cs="Arial"/>
                        <w:sz w:val="16"/>
                        <w:szCs w:val="16"/>
                      </w:rPr>
                      <w:t>100%</w:t>
                    </w:r>
                  </w:p>
                </w:tc>
                <w:tc>
                  <w:tcPr>
                    <w:tcW w:w="935" w:type="dxa"/>
                  </w:tcPr>
                  <w:p w14:paraId="0FB44E03" w14:textId="77777777" w:rsidR="00166D35" w:rsidRPr="00B30F3B" w:rsidRDefault="00166D35" w:rsidP="00166D35">
                    <w:pPr>
                      <w:rPr>
                        <w:rFonts w:ascii="Arial" w:hAnsi="Arial" w:cs="Arial"/>
                        <w:sz w:val="16"/>
                        <w:szCs w:val="16"/>
                      </w:rPr>
                    </w:pPr>
                    <w:r w:rsidRPr="00B30F3B">
                      <w:rPr>
                        <w:rFonts w:ascii="Arial" w:hAnsi="Arial" w:cs="Arial"/>
                        <w:sz w:val="16"/>
                        <w:szCs w:val="16"/>
                      </w:rPr>
                      <w:t>58%</w:t>
                    </w:r>
                  </w:p>
                </w:tc>
                <w:tc>
                  <w:tcPr>
                    <w:tcW w:w="1303" w:type="dxa"/>
                  </w:tcPr>
                  <w:p w14:paraId="132174DA" w14:textId="77777777" w:rsidR="00166D35" w:rsidRPr="00B30F3B" w:rsidRDefault="00166D35" w:rsidP="00166D35">
                    <w:pPr>
                      <w:rPr>
                        <w:rFonts w:ascii="Arial" w:hAnsi="Arial" w:cs="Arial"/>
                        <w:sz w:val="16"/>
                        <w:szCs w:val="16"/>
                      </w:rPr>
                    </w:pPr>
                    <w:r w:rsidRPr="00B30F3B">
                      <w:rPr>
                        <w:rFonts w:ascii="Arial" w:hAnsi="Arial" w:cs="Arial"/>
                        <w:sz w:val="16"/>
                        <w:szCs w:val="16"/>
                      </w:rPr>
                      <w:t>52%</w:t>
                    </w:r>
                  </w:p>
                </w:tc>
                <w:tc>
                  <w:tcPr>
                    <w:tcW w:w="944" w:type="dxa"/>
                  </w:tcPr>
                  <w:p w14:paraId="058C85AC" w14:textId="77777777" w:rsidR="00166D35" w:rsidRPr="00B30F3B" w:rsidRDefault="00166D35" w:rsidP="00166D35">
                    <w:pPr>
                      <w:rPr>
                        <w:rFonts w:ascii="Arial" w:hAnsi="Arial" w:cs="Arial"/>
                        <w:sz w:val="16"/>
                        <w:szCs w:val="16"/>
                      </w:rPr>
                    </w:pPr>
                    <w:r w:rsidRPr="00B30F3B">
                      <w:rPr>
                        <w:rFonts w:ascii="Arial" w:hAnsi="Arial" w:cs="Arial"/>
                        <w:sz w:val="16"/>
                        <w:szCs w:val="16"/>
                      </w:rPr>
                      <w:t>24%</w:t>
                    </w:r>
                  </w:p>
                </w:tc>
                <w:tc>
                  <w:tcPr>
                    <w:tcW w:w="1033" w:type="dxa"/>
                  </w:tcPr>
                  <w:p w14:paraId="7AF0CCFB" w14:textId="77777777" w:rsidR="00166D35" w:rsidRPr="00B30F3B" w:rsidRDefault="00166D35" w:rsidP="00166D35">
                    <w:pPr>
                      <w:rPr>
                        <w:rFonts w:ascii="Arial" w:hAnsi="Arial" w:cs="Arial"/>
                        <w:sz w:val="16"/>
                        <w:szCs w:val="16"/>
                      </w:rPr>
                    </w:pPr>
                    <w:r w:rsidRPr="00B30F3B">
                      <w:rPr>
                        <w:rFonts w:ascii="Arial" w:hAnsi="Arial" w:cs="Arial"/>
                        <w:sz w:val="16"/>
                        <w:szCs w:val="16"/>
                      </w:rPr>
                      <w:t>64%</w:t>
                    </w:r>
                  </w:p>
                </w:tc>
                <w:tc>
                  <w:tcPr>
                    <w:tcW w:w="944" w:type="dxa"/>
                  </w:tcPr>
                  <w:p w14:paraId="02F4AD8D" w14:textId="77777777" w:rsidR="00166D35" w:rsidRPr="00B30F3B" w:rsidRDefault="00166D35" w:rsidP="00166D35">
                    <w:pPr>
                      <w:rPr>
                        <w:rFonts w:ascii="Arial" w:hAnsi="Arial" w:cs="Arial"/>
                        <w:sz w:val="16"/>
                        <w:szCs w:val="16"/>
                      </w:rPr>
                    </w:pPr>
                    <w:r w:rsidRPr="00B30F3B">
                      <w:rPr>
                        <w:rFonts w:ascii="Arial" w:hAnsi="Arial" w:cs="Arial"/>
                        <w:sz w:val="16"/>
                        <w:szCs w:val="16"/>
                      </w:rPr>
                      <w:t>30%</w:t>
                    </w:r>
                  </w:p>
                </w:tc>
                <w:tc>
                  <w:tcPr>
                    <w:tcW w:w="944" w:type="dxa"/>
                  </w:tcPr>
                  <w:p w14:paraId="7FB2B124" w14:textId="77777777" w:rsidR="00166D35" w:rsidRPr="00B30F3B" w:rsidRDefault="00166D35" w:rsidP="00166D35">
                    <w:pPr>
                      <w:rPr>
                        <w:rFonts w:ascii="Arial" w:hAnsi="Arial" w:cs="Arial"/>
                        <w:sz w:val="16"/>
                        <w:szCs w:val="16"/>
                      </w:rPr>
                    </w:pPr>
                    <w:r w:rsidRPr="00B30F3B">
                      <w:rPr>
                        <w:rFonts w:ascii="Arial" w:hAnsi="Arial" w:cs="Arial"/>
                        <w:sz w:val="16"/>
                        <w:szCs w:val="16"/>
                      </w:rPr>
                      <w:t>76%</w:t>
                    </w:r>
                  </w:p>
                </w:tc>
                <w:tc>
                  <w:tcPr>
                    <w:tcW w:w="1008" w:type="dxa"/>
                  </w:tcPr>
                  <w:p w14:paraId="0542B7C2" w14:textId="77777777" w:rsidR="00166D35" w:rsidRPr="00B30F3B" w:rsidRDefault="00166D35" w:rsidP="00166D35">
                    <w:pPr>
                      <w:rPr>
                        <w:rFonts w:ascii="Arial" w:hAnsi="Arial" w:cs="Arial"/>
                        <w:sz w:val="16"/>
                        <w:szCs w:val="16"/>
                      </w:rPr>
                    </w:pPr>
                    <w:r w:rsidRPr="00B30F3B">
                      <w:rPr>
                        <w:rFonts w:ascii="Arial" w:hAnsi="Arial" w:cs="Arial"/>
                        <w:sz w:val="16"/>
                        <w:szCs w:val="16"/>
                      </w:rPr>
                      <w:t>61%</w:t>
                    </w:r>
                  </w:p>
                </w:tc>
              </w:tr>
            </w:tbl>
            <w:p w14:paraId="16133998" w14:textId="77777777" w:rsidR="00166D35" w:rsidRDefault="00166D35" w:rsidP="00166D35">
              <w:pPr>
                <w:rPr>
                  <w:rFonts w:ascii="Arial" w:hAnsi="Arial" w:cs="Arial"/>
                  <w:sz w:val="20"/>
                  <w:szCs w:val="20"/>
                </w:rPr>
              </w:pPr>
            </w:p>
            <w:tbl>
              <w:tblPr>
                <w:tblStyle w:val="TableGrid"/>
                <w:tblW w:w="0" w:type="auto"/>
                <w:tblLook w:val="04A0" w:firstRow="1" w:lastRow="0" w:firstColumn="1" w:lastColumn="0" w:noHBand="0" w:noVBand="1"/>
              </w:tblPr>
              <w:tblGrid>
                <w:gridCol w:w="1150"/>
                <w:gridCol w:w="937"/>
                <w:gridCol w:w="924"/>
                <w:gridCol w:w="1279"/>
                <w:gridCol w:w="944"/>
                <w:gridCol w:w="1030"/>
                <w:gridCol w:w="934"/>
              </w:tblGrid>
              <w:tr w:rsidR="00166D35" w:rsidRPr="00E96E22" w14:paraId="1FFB05E7" w14:textId="77777777" w:rsidTr="00166D35">
                <w:tc>
                  <w:tcPr>
                    <w:tcW w:w="1150" w:type="dxa"/>
                  </w:tcPr>
                  <w:p w14:paraId="7A953C47" w14:textId="77777777" w:rsidR="00166D35" w:rsidRPr="00E96E22" w:rsidRDefault="00166D35" w:rsidP="00166D35">
                    <w:pPr>
                      <w:rPr>
                        <w:rFonts w:ascii="Arial" w:hAnsi="Arial" w:cs="Arial"/>
                        <w:sz w:val="16"/>
                        <w:szCs w:val="16"/>
                      </w:rPr>
                    </w:pPr>
                  </w:p>
                </w:tc>
                <w:tc>
                  <w:tcPr>
                    <w:tcW w:w="803" w:type="dxa"/>
                  </w:tcPr>
                  <w:p w14:paraId="4A367B9C" w14:textId="77777777" w:rsidR="00166D35" w:rsidRPr="00E96E22" w:rsidRDefault="00166D35" w:rsidP="00166D35">
                    <w:pPr>
                      <w:rPr>
                        <w:rFonts w:ascii="Arial" w:hAnsi="Arial" w:cs="Arial"/>
                        <w:sz w:val="16"/>
                        <w:szCs w:val="16"/>
                      </w:rPr>
                    </w:pPr>
                    <w:r>
                      <w:rPr>
                        <w:rFonts w:ascii="Arial" w:hAnsi="Arial" w:cs="Arial"/>
                        <w:sz w:val="16"/>
                        <w:szCs w:val="16"/>
                      </w:rPr>
                      <w:t>Sum Assured</w:t>
                    </w:r>
                  </w:p>
                </w:tc>
                <w:tc>
                  <w:tcPr>
                    <w:tcW w:w="924" w:type="dxa"/>
                  </w:tcPr>
                  <w:p w14:paraId="2730E76A" w14:textId="77777777" w:rsidR="00166D35" w:rsidRPr="00E96E22" w:rsidRDefault="00166D35" w:rsidP="00166D35">
                    <w:pPr>
                      <w:rPr>
                        <w:rFonts w:ascii="Arial" w:hAnsi="Arial" w:cs="Arial"/>
                        <w:sz w:val="16"/>
                        <w:szCs w:val="16"/>
                      </w:rPr>
                    </w:pPr>
                    <w:r>
                      <w:rPr>
                        <w:rFonts w:ascii="Arial" w:hAnsi="Arial" w:cs="Arial"/>
                        <w:sz w:val="16"/>
                        <w:szCs w:val="16"/>
                      </w:rPr>
                      <w:t>Regular Bonus</w:t>
                    </w:r>
                  </w:p>
                </w:tc>
                <w:tc>
                  <w:tcPr>
                    <w:tcW w:w="1279" w:type="dxa"/>
                  </w:tcPr>
                  <w:p w14:paraId="1A2A9BE3" w14:textId="77777777" w:rsidR="00166D35" w:rsidRPr="00E96E22" w:rsidRDefault="00166D35" w:rsidP="00166D35">
                    <w:pPr>
                      <w:rPr>
                        <w:rFonts w:ascii="Arial" w:hAnsi="Arial" w:cs="Arial"/>
                        <w:sz w:val="16"/>
                        <w:szCs w:val="16"/>
                      </w:rPr>
                    </w:pPr>
                    <w:r>
                      <w:rPr>
                        <w:rFonts w:ascii="Arial" w:hAnsi="Arial" w:cs="Arial"/>
                        <w:sz w:val="16"/>
                        <w:szCs w:val="16"/>
                      </w:rPr>
                      <w:t>Final Bonus</w:t>
                    </w:r>
                  </w:p>
                </w:tc>
                <w:tc>
                  <w:tcPr>
                    <w:tcW w:w="944" w:type="dxa"/>
                  </w:tcPr>
                  <w:p w14:paraId="6FAB06CA" w14:textId="77777777" w:rsidR="00166D35" w:rsidRPr="00E96E22" w:rsidRDefault="00166D35" w:rsidP="00166D35">
                    <w:pPr>
                      <w:rPr>
                        <w:rFonts w:ascii="Arial" w:hAnsi="Arial" w:cs="Arial"/>
                        <w:sz w:val="16"/>
                        <w:szCs w:val="16"/>
                      </w:rPr>
                    </w:pPr>
                    <w:r>
                      <w:rPr>
                        <w:rFonts w:ascii="Arial" w:hAnsi="Arial" w:cs="Arial"/>
                        <w:sz w:val="16"/>
                        <w:szCs w:val="16"/>
                      </w:rPr>
                      <w:t>Market Value Reduction</w:t>
                    </w:r>
                  </w:p>
                </w:tc>
                <w:tc>
                  <w:tcPr>
                    <w:tcW w:w="1030" w:type="dxa"/>
                  </w:tcPr>
                  <w:p w14:paraId="0F305D7C" w14:textId="77777777" w:rsidR="00166D35" w:rsidRPr="00E96E22" w:rsidRDefault="00166D35" w:rsidP="00166D35">
                    <w:pPr>
                      <w:rPr>
                        <w:rFonts w:ascii="Arial" w:hAnsi="Arial" w:cs="Arial"/>
                        <w:sz w:val="16"/>
                        <w:szCs w:val="16"/>
                      </w:rPr>
                    </w:pPr>
                    <w:r>
                      <w:rPr>
                        <w:rFonts w:ascii="Arial" w:hAnsi="Arial" w:cs="Arial"/>
                        <w:sz w:val="16"/>
                        <w:szCs w:val="16"/>
                      </w:rPr>
                      <w:t>Details of a customer’s options are provided</w:t>
                    </w:r>
                  </w:p>
                </w:tc>
                <w:tc>
                  <w:tcPr>
                    <w:tcW w:w="934" w:type="dxa"/>
                  </w:tcPr>
                  <w:p w14:paraId="4D7F1951" w14:textId="77777777" w:rsidR="00166D35" w:rsidRPr="00E96E22" w:rsidRDefault="00166D35" w:rsidP="00166D35">
                    <w:pPr>
                      <w:rPr>
                        <w:rFonts w:ascii="Arial" w:hAnsi="Arial" w:cs="Arial"/>
                        <w:sz w:val="16"/>
                        <w:szCs w:val="16"/>
                      </w:rPr>
                    </w:pPr>
                    <w:r>
                      <w:rPr>
                        <w:rFonts w:ascii="Arial" w:hAnsi="Arial" w:cs="Arial"/>
                        <w:sz w:val="16"/>
                        <w:szCs w:val="16"/>
                      </w:rPr>
                      <w:t>Contact details</w:t>
                    </w:r>
                  </w:p>
                </w:tc>
              </w:tr>
              <w:tr w:rsidR="00166D35" w:rsidRPr="00E96E22" w14:paraId="441E848C" w14:textId="77777777" w:rsidTr="00166D35">
                <w:tc>
                  <w:tcPr>
                    <w:tcW w:w="1150" w:type="dxa"/>
                  </w:tcPr>
                  <w:p w14:paraId="7C1E41B6" w14:textId="77777777" w:rsidR="00166D35" w:rsidRPr="00E96E22" w:rsidRDefault="00166D35" w:rsidP="00166D35">
                    <w:pPr>
                      <w:rPr>
                        <w:rFonts w:ascii="Arial" w:hAnsi="Arial" w:cs="Arial"/>
                        <w:sz w:val="16"/>
                        <w:szCs w:val="16"/>
                      </w:rPr>
                    </w:pPr>
                    <w:r w:rsidRPr="00E96E22">
                      <w:rPr>
                        <w:rFonts w:ascii="Arial" w:hAnsi="Arial" w:cs="Arial"/>
                        <w:sz w:val="16"/>
                        <w:szCs w:val="16"/>
                      </w:rPr>
                      <w:t>Conventional</w:t>
                    </w:r>
                  </w:p>
                </w:tc>
                <w:tc>
                  <w:tcPr>
                    <w:tcW w:w="803" w:type="dxa"/>
                    <w:shd w:val="clear" w:color="auto" w:fill="92D050"/>
                  </w:tcPr>
                  <w:p w14:paraId="2FCBD84E" w14:textId="77777777" w:rsidR="00166D35" w:rsidRPr="00E96E22" w:rsidRDefault="00166D35" w:rsidP="00166D35">
                    <w:pPr>
                      <w:rPr>
                        <w:rFonts w:ascii="Arial" w:hAnsi="Arial" w:cs="Arial"/>
                        <w:sz w:val="16"/>
                        <w:szCs w:val="16"/>
                      </w:rPr>
                    </w:pPr>
                    <w:r>
                      <w:rPr>
                        <w:rFonts w:ascii="Arial" w:hAnsi="Arial" w:cs="Arial"/>
                        <w:sz w:val="16"/>
                        <w:szCs w:val="16"/>
                      </w:rPr>
                      <w:t>92%</w:t>
                    </w:r>
                  </w:p>
                </w:tc>
                <w:tc>
                  <w:tcPr>
                    <w:tcW w:w="924" w:type="dxa"/>
                    <w:shd w:val="clear" w:color="auto" w:fill="92D050"/>
                  </w:tcPr>
                  <w:p w14:paraId="3A360579" w14:textId="77777777" w:rsidR="00166D35" w:rsidRPr="00E96E22" w:rsidRDefault="00166D35" w:rsidP="00166D35">
                    <w:pPr>
                      <w:rPr>
                        <w:rFonts w:ascii="Arial" w:hAnsi="Arial" w:cs="Arial"/>
                        <w:sz w:val="16"/>
                        <w:szCs w:val="16"/>
                      </w:rPr>
                    </w:pPr>
                    <w:r>
                      <w:rPr>
                        <w:rFonts w:ascii="Arial" w:hAnsi="Arial" w:cs="Arial"/>
                        <w:sz w:val="16"/>
                        <w:szCs w:val="16"/>
                      </w:rPr>
                      <w:t>92</w:t>
                    </w:r>
                    <w:r w:rsidRPr="00E96E22">
                      <w:rPr>
                        <w:rFonts w:ascii="Arial" w:hAnsi="Arial" w:cs="Arial"/>
                        <w:sz w:val="16"/>
                        <w:szCs w:val="16"/>
                      </w:rPr>
                      <w:t>%</w:t>
                    </w:r>
                  </w:p>
                </w:tc>
                <w:tc>
                  <w:tcPr>
                    <w:tcW w:w="1279" w:type="dxa"/>
                    <w:shd w:val="clear" w:color="auto" w:fill="FFC000"/>
                  </w:tcPr>
                  <w:p w14:paraId="457CC454" w14:textId="77777777" w:rsidR="00166D35" w:rsidRPr="00E96E22" w:rsidRDefault="00166D35" w:rsidP="00166D35">
                    <w:pPr>
                      <w:rPr>
                        <w:rFonts w:ascii="Arial" w:hAnsi="Arial" w:cs="Arial"/>
                        <w:sz w:val="16"/>
                        <w:szCs w:val="16"/>
                      </w:rPr>
                    </w:pPr>
                    <w:r>
                      <w:rPr>
                        <w:rFonts w:ascii="Arial" w:hAnsi="Arial" w:cs="Arial"/>
                        <w:sz w:val="16"/>
                        <w:szCs w:val="16"/>
                      </w:rPr>
                      <w:t>25% stated one might be payable but didn’t specify the value</w:t>
                    </w:r>
                  </w:p>
                </w:tc>
                <w:tc>
                  <w:tcPr>
                    <w:tcW w:w="944" w:type="dxa"/>
                    <w:shd w:val="clear" w:color="auto" w:fill="FF0000"/>
                  </w:tcPr>
                  <w:p w14:paraId="5E84AE65" w14:textId="77777777" w:rsidR="00166D35" w:rsidRPr="00E96E22" w:rsidRDefault="00166D35" w:rsidP="00166D35">
                    <w:pPr>
                      <w:rPr>
                        <w:rFonts w:ascii="Arial" w:hAnsi="Arial" w:cs="Arial"/>
                        <w:sz w:val="16"/>
                        <w:szCs w:val="16"/>
                      </w:rPr>
                    </w:pPr>
                    <w:r>
                      <w:rPr>
                        <w:rFonts w:ascii="Arial" w:hAnsi="Arial" w:cs="Arial"/>
                        <w:sz w:val="16"/>
                        <w:szCs w:val="16"/>
                      </w:rPr>
                      <w:t>8%</w:t>
                    </w:r>
                  </w:p>
                </w:tc>
                <w:tc>
                  <w:tcPr>
                    <w:tcW w:w="1030" w:type="dxa"/>
                    <w:shd w:val="clear" w:color="auto" w:fill="auto"/>
                  </w:tcPr>
                  <w:p w14:paraId="23233767" w14:textId="77777777" w:rsidR="00166D35" w:rsidRPr="00E96E22" w:rsidRDefault="00166D35" w:rsidP="00166D35">
                    <w:pPr>
                      <w:rPr>
                        <w:rFonts w:ascii="Arial" w:hAnsi="Arial" w:cs="Arial"/>
                        <w:sz w:val="16"/>
                        <w:szCs w:val="16"/>
                      </w:rPr>
                    </w:pPr>
                    <w:r w:rsidRPr="00E96E22">
                      <w:rPr>
                        <w:rFonts w:ascii="Arial" w:hAnsi="Arial" w:cs="Arial"/>
                        <w:sz w:val="16"/>
                        <w:szCs w:val="16"/>
                      </w:rPr>
                      <w:t>Not directly applicable</w:t>
                    </w:r>
                  </w:p>
                </w:tc>
                <w:tc>
                  <w:tcPr>
                    <w:tcW w:w="934" w:type="dxa"/>
                    <w:shd w:val="clear" w:color="auto" w:fill="00B050"/>
                  </w:tcPr>
                  <w:p w14:paraId="191134AD" w14:textId="77777777" w:rsidR="00166D35" w:rsidRPr="00E96E22" w:rsidRDefault="00166D35" w:rsidP="00166D35">
                    <w:pPr>
                      <w:rPr>
                        <w:rFonts w:ascii="Arial" w:hAnsi="Arial" w:cs="Arial"/>
                        <w:sz w:val="16"/>
                        <w:szCs w:val="16"/>
                      </w:rPr>
                    </w:pPr>
                    <w:r>
                      <w:rPr>
                        <w:rFonts w:ascii="Arial" w:hAnsi="Arial" w:cs="Arial"/>
                        <w:sz w:val="16"/>
                        <w:szCs w:val="16"/>
                      </w:rPr>
                      <w:t>100%</w:t>
                    </w:r>
                  </w:p>
                </w:tc>
              </w:tr>
              <w:tr w:rsidR="00166D35" w:rsidRPr="00E96E22" w14:paraId="01AD0B92" w14:textId="77777777" w:rsidTr="00166D35">
                <w:tc>
                  <w:tcPr>
                    <w:tcW w:w="1150" w:type="dxa"/>
                  </w:tcPr>
                  <w:p w14:paraId="61CFD56F" w14:textId="77777777" w:rsidR="00166D35" w:rsidRPr="00E96E22" w:rsidRDefault="00166D35" w:rsidP="00166D35">
                    <w:pPr>
                      <w:rPr>
                        <w:rFonts w:ascii="Arial" w:hAnsi="Arial" w:cs="Arial"/>
                        <w:sz w:val="16"/>
                        <w:szCs w:val="16"/>
                      </w:rPr>
                    </w:pPr>
                    <w:r w:rsidRPr="00E96E22">
                      <w:rPr>
                        <w:rFonts w:ascii="Arial" w:hAnsi="Arial" w:cs="Arial"/>
                        <w:sz w:val="16"/>
                        <w:szCs w:val="16"/>
                      </w:rPr>
                      <w:t>Pensions</w:t>
                    </w:r>
                  </w:p>
                </w:tc>
                <w:tc>
                  <w:tcPr>
                    <w:tcW w:w="803" w:type="dxa"/>
                    <w:shd w:val="clear" w:color="auto" w:fill="FF0000"/>
                  </w:tcPr>
                  <w:p w14:paraId="7D3BF6B6" w14:textId="77777777" w:rsidR="00166D35" w:rsidRPr="00E96E22" w:rsidRDefault="00166D35" w:rsidP="00166D35">
                    <w:pPr>
                      <w:rPr>
                        <w:rFonts w:ascii="Arial" w:hAnsi="Arial" w:cs="Arial"/>
                        <w:sz w:val="16"/>
                        <w:szCs w:val="16"/>
                      </w:rPr>
                    </w:pPr>
                    <w:r>
                      <w:rPr>
                        <w:rFonts w:ascii="Arial" w:hAnsi="Arial" w:cs="Arial"/>
                        <w:sz w:val="16"/>
                        <w:szCs w:val="16"/>
                      </w:rPr>
                      <w:t>15</w:t>
                    </w:r>
                    <w:r w:rsidRPr="00E96E22">
                      <w:rPr>
                        <w:rFonts w:ascii="Arial" w:hAnsi="Arial" w:cs="Arial"/>
                        <w:sz w:val="16"/>
                        <w:szCs w:val="16"/>
                      </w:rPr>
                      <w:t>%</w:t>
                    </w:r>
                  </w:p>
                </w:tc>
                <w:tc>
                  <w:tcPr>
                    <w:tcW w:w="924" w:type="dxa"/>
                    <w:shd w:val="clear" w:color="auto" w:fill="E36C0A" w:themeFill="accent6" w:themeFillShade="BF"/>
                  </w:tcPr>
                  <w:p w14:paraId="007499D5" w14:textId="77777777" w:rsidR="00166D35" w:rsidRPr="00E96E22" w:rsidRDefault="00166D35" w:rsidP="00166D35">
                    <w:pPr>
                      <w:rPr>
                        <w:rFonts w:ascii="Arial" w:hAnsi="Arial" w:cs="Arial"/>
                        <w:sz w:val="16"/>
                        <w:szCs w:val="16"/>
                      </w:rPr>
                    </w:pPr>
                    <w:r>
                      <w:rPr>
                        <w:rFonts w:ascii="Arial" w:hAnsi="Arial" w:cs="Arial"/>
                        <w:sz w:val="16"/>
                        <w:szCs w:val="16"/>
                      </w:rPr>
                      <w:t>54</w:t>
                    </w:r>
                    <w:r w:rsidRPr="00E96E22">
                      <w:rPr>
                        <w:rFonts w:ascii="Arial" w:hAnsi="Arial" w:cs="Arial"/>
                        <w:sz w:val="16"/>
                        <w:szCs w:val="16"/>
                      </w:rPr>
                      <w:t>%</w:t>
                    </w:r>
                  </w:p>
                </w:tc>
                <w:tc>
                  <w:tcPr>
                    <w:tcW w:w="1279" w:type="dxa"/>
                    <w:shd w:val="clear" w:color="auto" w:fill="E36C0A" w:themeFill="accent6" w:themeFillShade="BF"/>
                  </w:tcPr>
                  <w:p w14:paraId="143E41A5" w14:textId="77777777" w:rsidR="00166D35" w:rsidRPr="00E96E22" w:rsidRDefault="00166D35" w:rsidP="00166D35">
                    <w:pPr>
                      <w:rPr>
                        <w:rFonts w:ascii="Arial" w:hAnsi="Arial" w:cs="Arial"/>
                        <w:sz w:val="16"/>
                        <w:szCs w:val="16"/>
                      </w:rPr>
                    </w:pPr>
                    <w:r>
                      <w:rPr>
                        <w:rFonts w:ascii="Arial" w:hAnsi="Arial" w:cs="Arial"/>
                        <w:sz w:val="16"/>
                        <w:szCs w:val="16"/>
                      </w:rPr>
                      <w:t>54</w:t>
                    </w:r>
                    <w:r w:rsidRPr="00E96E22">
                      <w:rPr>
                        <w:rFonts w:ascii="Arial" w:hAnsi="Arial" w:cs="Arial"/>
                        <w:sz w:val="16"/>
                        <w:szCs w:val="16"/>
                      </w:rPr>
                      <w:t>%</w:t>
                    </w:r>
                  </w:p>
                </w:tc>
                <w:tc>
                  <w:tcPr>
                    <w:tcW w:w="944" w:type="dxa"/>
                    <w:shd w:val="clear" w:color="auto" w:fill="E36C0A" w:themeFill="accent6" w:themeFillShade="BF"/>
                  </w:tcPr>
                  <w:p w14:paraId="33691270" w14:textId="77777777" w:rsidR="00166D35" w:rsidRPr="00E96E22" w:rsidRDefault="00166D35" w:rsidP="00166D35">
                    <w:pPr>
                      <w:rPr>
                        <w:rFonts w:ascii="Arial" w:hAnsi="Arial" w:cs="Arial"/>
                        <w:sz w:val="16"/>
                        <w:szCs w:val="16"/>
                      </w:rPr>
                    </w:pPr>
                    <w:r>
                      <w:rPr>
                        <w:rFonts w:ascii="Arial" w:hAnsi="Arial" w:cs="Arial"/>
                        <w:sz w:val="16"/>
                        <w:szCs w:val="16"/>
                      </w:rPr>
                      <w:t>54</w:t>
                    </w:r>
                    <w:r w:rsidRPr="00E96E22">
                      <w:rPr>
                        <w:rFonts w:ascii="Arial" w:hAnsi="Arial" w:cs="Arial"/>
                        <w:sz w:val="16"/>
                        <w:szCs w:val="16"/>
                      </w:rPr>
                      <w:t>%</w:t>
                    </w:r>
                  </w:p>
                </w:tc>
                <w:tc>
                  <w:tcPr>
                    <w:tcW w:w="1030" w:type="dxa"/>
                    <w:shd w:val="clear" w:color="auto" w:fill="FFC000"/>
                  </w:tcPr>
                  <w:p w14:paraId="60F51A34" w14:textId="77777777" w:rsidR="00166D35" w:rsidRPr="00E96E22" w:rsidRDefault="00166D35" w:rsidP="00166D35">
                    <w:pPr>
                      <w:rPr>
                        <w:rFonts w:ascii="Arial" w:hAnsi="Arial" w:cs="Arial"/>
                        <w:sz w:val="16"/>
                        <w:szCs w:val="16"/>
                      </w:rPr>
                    </w:pPr>
                    <w:r>
                      <w:rPr>
                        <w:rFonts w:ascii="Arial" w:hAnsi="Arial" w:cs="Arial"/>
                        <w:sz w:val="16"/>
                        <w:szCs w:val="16"/>
                      </w:rPr>
                      <w:t>46</w:t>
                    </w:r>
                    <w:r w:rsidRPr="00E96E22">
                      <w:rPr>
                        <w:rFonts w:ascii="Arial" w:hAnsi="Arial" w:cs="Arial"/>
                        <w:sz w:val="16"/>
                        <w:szCs w:val="16"/>
                      </w:rPr>
                      <w:t>%</w:t>
                    </w:r>
                  </w:p>
                </w:tc>
                <w:tc>
                  <w:tcPr>
                    <w:tcW w:w="934" w:type="dxa"/>
                    <w:shd w:val="clear" w:color="auto" w:fill="00B050"/>
                  </w:tcPr>
                  <w:p w14:paraId="35FB3856" w14:textId="77777777" w:rsidR="00166D35" w:rsidRPr="00E96E22" w:rsidRDefault="00166D35" w:rsidP="00166D35">
                    <w:pPr>
                      <w:rPr>
                        <w:rFonts w:ascii="Arial" w:hAnsi="Arial" w:cs="Arial"/>
                        <w:sz w:val="16"/>
                        <w:szCs w:val="16"/>
                      </w:rPr>
                    </w:pPr>
                    <w:r>
                      <w:rPr>
                        <w:rFonts w:ascii="Arial" w:hAnsi="Arial" w:cs="Arial"/>
                        <w:sz w:val="16"/>
                        <w:szCs w:val="16"/>
                      </w:rPr>
                      <w:t>100%</w:t>
                    </w:r>
                  </w:p>
                </w:tc>
              </w:tr>
              <w:tr w:rsidR="00166D35" w:rsidRPr="00E96E22" w14:paraId="23411FBE" w14:textId="77777777" w:rsidTr="00166D35">
                <w:tc>
                  <w:tcPr>
                    <w:tcW w:w="1150" w:type="dxa"/>
                  </w:tcPr>
                  <w:p w14:paraId="66A188B9" w14:textId="77777777" w:rsidR="00166D35" w:rsidRPr="00E96E22" w:rsidRDefault="00166D35" w:rsidP="00166D35">
                    <w:pPr>
                      <w:rPr>
                        <w:rFonts w:ascii="Arial" w:hAnsi="Arial" w:cs="Arial"/>
                        <w:sz w:val="16"/>
                        <w:szCs w:val="16"/>
                      </w:rPr>
                    </w:pPr>
                    <w:r w:rsidRPr="00E96E22">
                      <w:rPr>
                        <w:rFonts w:ascii="Arial" w:hAnsi="Arial" w:cs="Arial"/>
                        <w:sz w:val="16"/>
                        <w:szCs w:val="16"/>
                      </w:rPr>
                      <w:t>Investment / Savings</w:t>
                    </w:r>
                  </w:p>
                </w:tc>
                <w:tc>
                  <w:tcPr>
                    <w:tcW w:w="803" w:type="dxa"/>
                    <w:shd w:val="clear" w:color="auto" w:fill="auto"/>
                  </w:tcPr>
                  <w:p w14:paraId="5E071340" w14:textId="77777777" w:rsidR="00166D35" w:rsidRPr="00E96E22" w:rsidRDefault="00166D35" w:rsidP="00166D35">
                    <w:pPr>
                      <w:rPr>
                        <w:rFonts w:ascii="Arial" w:hAnsi="Arial" w:cs="Arial"/>
                        <w:sz w:val="16"/>
                        <w:szCs w:val="16"/>
                      </w:rPr>
                    </w:pPr>
                    <w:r>
                      <w:rPr>
                        <w:rFonts w:ascii="Arial" w:hAnsi="Arial" w:cs="Arial"/>
                        <w:sz w:val="16"/>
                        <w:szCs w:val="16"/>
                      </w:rPr>
                      <w:t>Not applicable</w:t>
                    </w:r>
                  </w:p>
                </w:tc>
                <w:tc>
                  <w:tcPr>
                    <w:tcW w:w="924" w:type="dxa"/>
                    <w:shd w:val="clear" w:color="auto" w:fill="FFFF00"/>
                  </w:tcPr>
                  <w:p w14:paraId="507A5A43" w14:textId="77777777" w:rsidR="00166D35" w:rsidRPr="00E96E22" w:rsidRDefault="00166D35" w:rsidP="00166D35">
                    <w:pPr>
                      <w:rPr>
                        <w:rFonts w:ascii="Arial" w:hAnsi="Arial" w:cs="Arial"/>
                        <w:sz w:val="16"/>
                        <w:szCs w:val="16"/>
                      </w:rPr>
                    </w:pPr>
                    <w:r>
                      <w:rPr>
                        <w:rFonts w:ascii="Arial" w:hAnsi="Arial" w:cs="Arial"/>
                        <w:sz w:val="16"/>
                        <w:szCs w:val="16"/>
                      </w:rPr>
                      <w:t>63</w:t>
                    </w:r>
                    <w:r w:rsidRPr="00E96E22">
                      <w:rPr>
                        <w:rFonts w:ascii="Arial" w:hAnsi="Arial" w:cs="Arial"/>
                        <w:sz w:val="16"/>
                        <w:szCs w:val="16"/>
                      </w:rPr>
                      <w:t>%</w:t>
                    </w:r>
                  </w:p>
                </w:tc>
                <w:tc>
                  <w:tcPr>
                    <w:tcW w:w="1279" w:type="dxa"/>
                    <w:shd w:val="clear" w:color="auto" w:fill="92D050"/>
                  </w:tcPr>
                  <w:p w14:paraId="00E59848" w14:textId="77777777" w:rsidR="00166D35" w:rsidRPr="00E96E22" w:rsidRDefault="00166D35" w:rsidP="00166D35">
                    <w:pPr>
                      <w:rPr>
                        <w:rFonts w:ascii="Arial" w:hAnsi="Arial" w:cs="Arial"/>
                        <w:sz w:val="16"/>
                        <w:szCs w:val="16"/>
                      </w:rPr>
                    </w:pPr>
                    <w:r w:rsidRPr="00E96E22">
                      <w:rPr>
                        <w:rFonts w:ascii="Arial" w:hAnsi="Arial" w:cs="Arial"/>
                        <w:sz w:val="16"/>
                        <w:szCs w:val="16"/>
                      </w:rPr>
                      <w:t>88%</w:t>
                    </w:r>
                  </w:p>
                </w:tc>
                <w:tc>
                  <w:tcPr>
                    <w:tcW w:w="944" w:type="dxa"/>
                    <w:shd w:val="clear" w:color="auto" w:fill="FFFF00"/>
                  </w:tcPr>
                  <w:p w14:paraId="030FB0C4" w14:textId="77777777" w:rsidR="00166D35" w:rsidRPr="00E96E22" w:rsidRDefault="00166D35" w:rsidP="00166D35">
                    <w:pPr>
                      <w:rPr>
                        <w:rFonts w:ascii="Arial" w:hAnsi="Arial" w:cs="Arial"/>
                        <w:sz w:val="16"/>
                        <w:szCs w:val="16"/>
                      </w:rPr>
                    </w:pPr>
                    <w:r>
                      <w:rPr>
                        <w:rFonts w:ascii="Arial" w:hAnsi="Arial" w:cs="Arial"/>
                        <w:sz w:val="16"/>
                        <w:szCs w:val="16"/>
                      </w:rPr>
                      <w:t>6</w:t>
                    </w:r>
                    <w:r w:rsidRPr="00E96E22">
                      <w:rPr>
                        <w:rFonts w:ascii="Arial" w:hAnsi="Arial" w:cs="Arial"/>
                        <w:sz w:val="16"/>
                        <w:szCs w:val="16"/>
                      </w:rPr>
                      <w:t>3%</w:t>
                    </w:r>
                  </w:p>
                </w:tc>
                <w:tc>
                  <w:tcPr>
                    <w:tcW w:w="1030" w:type="dxa"/>
                    <w:shd w:val="clear" w:color="auto" w:fill="E36C0A" w:themeFill="accent6" w:themeFillShade="BF"/>
                  </w:tcPr>
                  <w:p w14:paraId="0BFD01EF" w14:textId="77777777" w:rsidR="00166D35" w:rsidRPr="00E96E22" w:rsidRDefault="00166D35" w:rsidP="00166D35">
                    <w:pPr>
                      <w:rPr>
                        <w:rFonts w:ascii="Arial" w:hAnsi="Arial" w:cs="Arial"/>
                        <w:sz w:val="16"/>
                        <w:szCs w:val="16"/>
                      </w:rPr>
                    </w:pPr>
                    <w:r w:rsidRPr="00E96E22">
                      <w:rPr>
                        <w:rFonts w:ascii="Arial" w:hAnsi="Arial" w:cs="Arial"/>
                        <w:sz w:val="16"/>
                        <w:szCs w:val="16"/>
                      </w:rPr>
                      <w:t>50%</w:t>
                    </w:r>
                  </w:p>
                </w:tc>
                <w:tc>
                  <w:tcPr>
                    <w:tcW w:w="934" w:type="dxa"/>
                    <w:shd w:val="clear" w:color="auto" w:fill="00B050"/>
                  </w:tcPr>
                  <w:p w14:paraId="043FEBAE" w14:textId="77777777" w:rsidR="00166D35" w:rsidRPr="00E96E22" w:rsidRDefault="00166D35" w:rsidP="00166D35">
                    <w:pPr>
                      <w:rPr>
                        <w:rFonts w:ascii="Arial" w:hAnsi="Arial" w:cs="Arial"/>
                        <w:sz w:val="16"/>
                        <w:szCs w:val="16"/>
                      </w:rPr>
                    </w:pPr>
                    <w:r>
                      <w:rPr>
                        <w:rFonts w:ascii="Arial" w:hAnsi="Arial" w:cs="Arial"/>
                        <w:sz w:val="16"/>
                        <w:szCs w:val="16"/>
                      </w:rPr>
                      <w:t>100%</w:t>
                    </w:r>
                  </w:p>
                </w:tc>
              </w:tr>
              <w:tr w:rsidR="00166D35" w:rsidRPr="00E96E22" w14:paraId="42202294" w14:textId="77777777" w:rsidTr="00166D35">
                <w:tc>
                  <w:tcPr>
                    <w:tcW w:w="1150" w:type="dxa"/>
                  </w:tcPr>
                  <w:p w14:paraId="146B78E1" w14:textId="77777777" w:rsidR="00166D35" w:rsidRPr="00E96E22" w:rsidRDefault="00166D35" w:rsidP="00166D35">
                    <w:pPr>
                      <w:rPr>
                        <w:rFonts w:ascii="Arial" w:hAnsi="Arial" w:cs="Arial"/>
                        <w:sz w:val="16"/>
                        <w:szCs w:val="16"/>
                      </w:rPr>
                    </w:pPr>
                    <w:r w:rsidRPr="00E96E22">
                      <w:rPr>
                        <w:rFonts w:ascii="Arial" w:hAnsi="Arial" w:cs="Arial"/>
                        <w:sz w:val="16"/>
                        <w:szCs w:val="16"/>
                      </w:rPr>
                      <w:t>Total</w:t>
                    </w:r>
                  </w:p>
                </w:tc>
                <w:tc>
                  <w:tcPr>
                    <w:tcW w:w="803" w:type="dxa"/>
                    <w:shd w:val="clear" w:color="auto" w:fill="auto"/>
                  </w:tcPr>
                  <w:p w14:paraId="7A08FEFA" w14:textId="77777777" w:rsidR="00166D35" w:rsidRPr="00E96E22" w:rsidRDefault="00166D35" w:rsidP="00166D35">
                    <w:pPr>
                      <w:rPr>
                        <w:rFonts w:ascii="Arial" w:hAnsi="Arial" w:cs="Arial"/>
                        <w:sz w:val="16"/>
                        <w:szCs w:val="16"/>
                      </w:rPr>
                    </w:pPr>
                    <w:r>
                      <w:rPr>
                        <w:rFonts w:ascii="Arial" w:hAnsi="Arial" w:cs="Arial"/>
                        <w:sz w:val="16"/>
                        <w:szCs w:val="16"/>
                      </w:rPr>
                      <w:t>39</w:t>
                    </w:r>
                    <w:r w:rsidRPr="00E96E22">
                      <w:rPr>
                        <w:rFonts w:ascii="Arial" w:hAnsi="Arial" w:cs="Arial"/>
                        <w:sz w:val="16"/>
                        <w:szCs w:val="16"/>
                      </w:rPr>
                      <w:t>%</w:t>
                    </w:r>
                  </w:p>
                </w:tc>
                <w:tc>
                  <w:tcPr>
                    <w:tcW w:w="924" w:type="dxa"/>
                    <w:shd w:val="clear" w:color="auto" w:fill="auto"/>
                  </w:tcPr>
                  <w:p w14:paraId="462ABDF6" w14:textId="77777777" w:rsidR="00166D35" w:rsidRPr="00E96E22" w:rsidRDefault="00166D35" w:rsidP="00166D35">
                    <w:pPr>
                      <w:rPr>
                        <w:rFonts w:ascii="Arial" w:hAnsi="Arial" w:cs="Arial"/>
                        <w:sz w:val="16"/>
                        <w:szCs w:val="16"/>
                      </w:rPr>
                    </w:pPr>
                    <w:r>
                      <w:rPr>
                        <w:rFonts w:ascii="Arial" w:hAnsi="Arial" w:cs="Arial"/>
                        <w:sz w:val="16"/>
                        <w:szCs w:val="16"/>
                      </w:rPr>
                      <w:t>70</w:t>
                    </w:r>
                    <w:r w:rsidRPr="00E96E22">
                      <w:rPr>
                        <w:rFonts w:ascii="Arial" w:hAnsi="Arial" w:cs="Arial"/>
                        <w:sz w:val="16"/>
                        <w:szCs w:val="16"/>
                      </w:rPr>
                      <w:t>%</w:t>
                    </w:r>
                  </w:p>
                </w:tc>
                <w:tc>
                  <w:tcPr>
                    <w:tcW w:w="1279" w:type="dxa"/>
                    <w:shd w:val="clear" w:color="auto" w:fill="auto"/>
                  </w:tcPr>
                  <w:p w14:paraId="70C64F45" w14:textId="77777777" w:rsidR="00166D35" w:rsidRPr="00E96E22" w:rsidRDefault="00166D35" w:rsidP="00166D35">
                    <w:pPr>
                      <w:rPr>
                        <w:rFonts w:ascii="Arial" w:hAnsi="Arial" w:cs="Arial"/>
                        <w:sz w:val="16"/>
                        <w:szCs w:val="16"/>
                      </w:rPr>
                    </w:pPr>
                    <w:r>
                      <w:rPr>
                        <w:rFonts w:ascii="Arial" w:hAnsi="Arial" w:cs="Arial"/>
                        <w:sz w:val="16"/>
                        <w:szCs w:val="16"/>
                      </w:rPr>
                      <w:t>42</w:t>
                    </w:r>
                    <w:r w:rsidRPr="00E96E22">
                      <w:rPr>
                        <w:rFonts w:ascii="Arial" w:hAnsi="Arial" w:cs="Arial"/>
                        <w:sz w:val="16"/>
                        <w:szCs w:val="16"/>
                      </w:rPr>
                      <w:t>%</w:t>
                    </w:r>
                  </w:p>
                </w:tc>
                <w:tc>
                  <w:tcPr>
                    <w:tcW w:w="944" w:type="dxa"/>
                    <w:shd w:val="clear" w:color="auto" w:fill="auto"/>
                  </w:tcPr>
                  <w:p w14:paraId="02DC0028" w14:textId="77777777" w:rsidR="00166D35" w:rsidRPr="00E96E22" w:rsidRDefault="00166D35" w:rsidP="00166D35">
                    <w:pPr>
                      <w:rPr>
                        <w:rFonts w:ascii="Arial" w:hAnsi="Arial" w:cs="Arial"/>
                        <w:sz w:val="16"/>
                        <w:szCs w:val="16"/>
                      </w:rPr>
                    </w:pPr>
                    <w:r>
                      <w:rPr>
                        <w:rFonts w:ascii="Arial" w:hAnsi="Arial" w:cs="Arial"/>
                        <w:sz w:val="16"/>
                        <w:szCs w:val="16"/>
                      </w:rPr>
                      <w:t>39</w:t>
                    </w:r>
                    <w:r w:rsidRPr="00E96E22">
                      <w:rPr>
                        <w:rFonts w:ascii="Arial" w:hAnsi="Arial" w:cs="Arial"/>
                        <w:sz w:val="16"/>
                        <w:szCs w:val="16"/>
                      </w:rPr>
                      <w:t>%</w:t>
                    </w:r>
                  </w:p>
                </w:tc>
                <w:tc>
                  <w:tcPr>
                    <w:tcW w:w="1030" w:type="dxa"/>
                    <w:shd w:val="clear" w:color="auto" w:fill="auto"/>
                  </w:tcPr>
                  <w:p w14:paraId="4CFEBC32" w14:textId="77777777" w:rsidR="00166D35" w:rsidRPr="00E96E22" w:rsidRDefault="00166D35" w:rsidP="00166D35">
                    <w:pPr>
                      <w:rPr>
                        <w:rFonts w:ascii="Arial" w:hAnsi="Arial" w:cs="Arial"/>
                        <w:sz w:val="16"/>
                        <w:szCs w:val="16"/>
                      </w:rPr>
                    </w:pPr>
                    <w:r>
                      <w:rPr>
                        <w:rFonts w:ascii="Arial" w:hAnsi="Arial" w:cs="Arial"/>
                        <w:sz w:val="16"/>
                        <w:szCs w:val="16"/>
                      </w:rPr>
                      <w:t>48</w:t>
                    </w:r>
                    <w:r w:rsidRPr="00E96E22">
                      <w:rPr>
                        <w:rFonts w:ascii="Arial" w:hAnsi="Arial" w:cs="Arial"/>
                        <w:sz w:val="16"/>
                        <w:szCs w:val="16"/>
                      </w:rPr>
                      <w:t>%</w:t>
                    </w:r>
                  </w:p>
                </w:tc>
                <w:tc>
                  <w:tcPr>
                    <w:tcW w:w="934" w:type="dxa"/>
                    <w:shd w:val="clear" w:color="auto" w:fill="auto"/>
                  </w:tcPr>
                  <w:p w14:paraId="6386B6D0" w14:textId="77777777" w:rsidR="00166D35" w:rsidRPr="00E96E22" w:rsidRDefault="00166D35" w:rsidP="00166D35">
                    <w:pPr>
                      <w:rPr>
                        <w:rFonts w:ascii="Arial" w:hAnsi="Arial" w:cs="Arial"/>
                        <w:sz w:val="16"/>
                        <w:szCs w:val="16"/>
                      </w:rPr>
                    </w:pPr>
                    <w:r>
                      <w:rPr>
                        <w:rFonts w:ascii="Arial" w:hAnsi="Arial" w:cs="Arial"/>
                        <w:sz w:val="16"/>
                        <w:szCs w:val="16"/>
                      </w:rPr>
                      <w:t>100%</w:t>
                    </w:r>
                  </w:p>
                </w:tc>
              </w:tr>
            </w:tbl>
            <w:p w14:paraId="65DB5983" w14:textId="77777777" w:rsidR="00166D35" w:rsidRDefault="00166D35" w:rsidP="00166D35">
              <w:pPr>
                <w:rPr>
                  <w:rFonts w:ascii="Arial" w:hAnsi="Arial" w:cs="Arial"/>
                  <w:sz w:val="20"/>
                  <w:szCs w:val="20"/>
                </w:rPr>
              </w:pPr>
            </w:p>
            <w:p w14:paraId="2B05D6F3" w14:textId="77777777" w:rsidR="00166D35" w:rsidRPr="000230E1" w:rsidRDefault="00166D35" w:rsidP="000230E1">
              <w:pPr>
                <w:jc w:val="both"/>
                <w:rPr>
                  <w:rFonts w:ascii="Arial" w:hAnsi="Arial" w:cs="Arial"/>
                  <w:sz w:val="20"/>
                  <w:szCs w:val="20"/>
                </w:rPr>
              </w:pPr>
              <w:r w:rsidRPr="000230E1">
                <w:rPr>
                  <w:rFonts w:ascii="Arial" w:hAnsi="Arial" w:cs="Arial"/>
                  <w:sz w:val="20"/>
                  <w:szCs w:val="20"/>
                </w:rPr>
                <w:t>Table 2: With-profits communications review output</w:t>
              </w:r>
            </w:p>
            <w:p w14:paraId="1A13F262" w14:textId="77777777" w:rsidR="00166D35" w:rsidRPr="000230E1" w:rsidRDefault="00166D35" w:rsidP="000230E1">
              <w:pPr>
                <w:jc w:val="both"/>
                <w:rPr>
                  <w:rFonts w:ascii="Arial" w:hAnsi="Arial" w:cs="Arial"/>
                  <w:sz w:val="20"/>
                  <w:szCs w:val="20"/>
                </w:rPr>
              </w:pPr>
              <w:r w:rsidRPr="000230E1">
                <w:rPr>
                  <w:rFonts w:ascii="Arial" w:hAnsi="Arial" w:cs="Arial"/>
                  <w:sz w:val="20"/>
                  <w:szCs w:val="20"/>
                </w:rPr>
                <w:t>All areas highlighted in green represent good practices observed, with yellow areas representing areas where a majority of good practices were observed. The amber and red representing areas where we believe improvements to these aspects of with-profits communications could be made, and this is particularly relevant for firms that do not currently include this information in their communications.</w:t>
              </w:r>
              <w:r w:rsidR="001B480F">
                <w:rPr>
                  <w:rFonts w:ascii="Arial" w:hAnsi="Arial" w:cs="Arial"/>
                  <w:sz w:val="20"/>
                  <w:szCs w:val="20"/>
                </w:rPr>
                <w:t xml:space="preserve"> </w:t>
              </w:r>
              <w:r w:rsidRPr="000230E1">
                <w:rPr>
                  <w:rFonts w:ascii="Arial" w:hAnsi="Arial" w:cs="Arial"/>
                  <w:sz w:val="20"/>
                  <w:szCs w:val="20"/>
                </w:rPr>
                <w:t>Section 4.3 provides examples for improving consumer communications. In particular, further comments on the good practices observed include:</w:t>
              </w:r>
            </w:p>
            <w:p w14:paraId="0A4665BB" w14:textId="77777777" w:rsidR="00166D35" w:rsidRPr="000230E1" w:rsidRDefault="00166D35" w:rsidP="000230E1">
              <w:pPr>
                <w:pStyle w:val="ListParagraph"/>
                <w:numPr>
                  <w:ilvl w:val="0"/>
                  <w:numId w:val="15"/>
                </w:numPr>
                <w:spacing w:after="240"/>
                <w:jc w:val="both"/>
                <w:rPr>
                  <w:rFonts w:cs="Arial"/>
                  <w:szCs w:val="20"/>
                </w:rPr>
              </w:pPr>
              <w:r w:rsidRPr="000230E1">
                <w:rPr>
                  <w:rFonts w:cs="Arial"/>
                  <w:szCs w:val="20"/>
                </w:rPr>
                <w:t xml:space="preserve">The majority of the communications included the current value of the policy. </w:t>
              </w:r>
            </w:p>
            <w:p w14:paraId="49B97F64" w14:textId="77777777" w:rsidR="00166D35" w:rsidRPr="000230E1" w:rsidRDefault="00166D35">
              <w:pPr>
                <w:pStyle w:val="ListParagraph"/>
                <w:numPr>
                  <w:ilvl w:val="0"/>
                  <w:numId w:val="15"/>
                </w:numPr>
                <w:spacing w:after="240"/>
                <w:jc w:val="both"/>
                <w:rPr>
                  <w:rFonts w:cs="Arial"/>
                  <w:szCs w:val="20"/>
                </w:rPr>
              </w:pPr>
              <w:r w:rsidRPr="00023B63">
                <w:rPr>
                  <w:rFonts w:cs="Arial"/>
                  <w:szCs w:val="20"/>
                </w:rPr>
                <w:t>In contrast to conventional communications, almost all of the communications in the Pensions and Investments category included a transfer value, and</w:t>
              </w:r>
              <w:r w:rsidRPr="005E7E4E">
                <w:rPr>
                  <w:rFonts w:cs="Arial"/>
                  <w:szCs w:val="20"/>
                </w:rPr>
                <w:t xml:space="preserve"> where this was different to the plan value, an explanation was provided.</w:t>
              </w:r>
            </w:p>
            <w:p w14:paraId="6C58EB9A" w14:textId="77777777" w:rsidR="00166D35" w:rsidRPr="000230E1" w:rsidRDefault="00166D35">
              <w:pPr>
                <w:pStyle w:val="ListParagraph"/>
                <w:numPr>
                  <w:ilvl w:val="0"/>
                  <w:numId w:val="15"/>
                </w:numPr>
                <w:spacing w:after="240"/>
                <w:jc w:val="both"/>
                <w:rPr>
                  <w:rFonts w:cs="Arial"/>
                  <w:szCs w:val="20"/>
                </w:rPr>
              </w:pPr>
              <w:r w:rsidRPr="00023B63">
                <w:rPr>
                  <w:rFonts w:cs="Arial"/>
                  <w:szCs w:val="20"/>
                </w:rPr>
                <w:t>Just over half of the communications in the Pensions and Investments category included the plan value at the previous communication, and in line with FG16/8, we support its inclusion</w:t>
              </w:r>
              <w:r w:rsidRPr="005E7E4E">
                <w:rPr>
                  <w:rFonts w:cs="Arial"/>
                  <w:szCs w:val="20"/>
                </w:rPr>
                <w:t>.</w:t>
              </w:r>
            </w:p>
            <w:p w14:paraId="2A536FB4" w14:textId="77777777" w:rsidR="00166D35" w:rsidRDefault="00166D35">
              <w:pPr>
                <w:pStyle w:val="ListParagraph"/>
                <w:numPr>
                  <w:ilvl w:val="0"/>
                  <w:numId w:val="15"/>
                </w:numPr>
                <w:spacing w:after="240"/>
                <w:jc w:val="both"/>
                <w:rPr>
                  <w:rFonts w:cs="Arial"/>
                  <w:szCs w:val="20"/>
                </w:rPr>
              </w:pPr>
              <w:r w:rsidRPr="00023B63">
                <w:rPr>
                  <w:rFonts w:cs="Arial"/>
                  <w:szCs w:val="20"/>
                </w:rPr>
                <w:t>The majority of communications included details of which benefits were guaranteed and were not guaranteed, although this wasn’t always immediately obvious to a reader. We have proposed examples below with suggestions for making this distinction clearer.</w:t>
              </w:r>
            </w:p>
            <w:p w14:paraId="5DF11080" w14:textId="77777777" w:rsidR="001B480F" w:rsidRDefault="001B480F" w:rsidP="001B480F">
              <w:pPr>
                <w:pStyle w:val="ListParagraph"/>
                <w:spacing w:after="240"/>
                <w:jc w:val="both"/>
                <w:rPr>
                  <w:rFonts w:cs="Arial"/>
                  <w:szCs w:val="20"/>
                </w:rPr>
              </w:pPr>
            </w:p>
            <w:p w14:paraId="0412DC9D" w14:textId="77777777" w:rsidR="001B480F" w:rsidRPr="000230E1" w:rsidRDefault="001B480F" w:rsidP="001B480F">
              <w:pPr>
                <w:pStyle w:val="ListParagraph"/>
                <w:spacing w:after="240"/>
                <w:jc w:val="both"/>
                <w:rPr>
                  <w:rFonts w:cs="Arial"/>
                  <w:szCs w:val="20"/>
                </w:rPr>
              </w:pPr>
            </w:p>
            <w:p w14:paraId="62A62BE7" w14:textId="77777777" w:rsidR="00166D35" w:rsidRPr="000230E1" w:rsidRDefault="00166D35" w:rsidP="000230E1">
              <w:pPr>
                <w:jc w:val="both"/>
                <w:rPr>
                  <w:rFonts w:ascii="Arial" w:hAnsi="Arial" w:cs="Arial"/>
                  <w:b/>
                  <w:sz w:val="20"/>
                  <w:szCs w:val="20"/>
                </w:rPr>
              </w:pPr>
              <w:r w:rsidRPr="000230E1">
                <w:rPr>
                  <w:rFonts w:ascii="Arial" w:hAnsi="Arial" w:cs="Arial"/>
                  <w:b/>
                  <w:sz w:val="20"/>
                  <w:szCs w:val="20"/>
                </w:rPr>
                <w:lastRenderedPageBreak/>
                <w:t>4.3 Examples for improving consumer communications</w:t>
              </w:r>
            </w:p>
            <w:p w14:paraId="1BEF37F4" w14:textId="77777777" w:rsidR="00166D35" w:rsidRPr="000230E1" w:rsidRDefault="00166D35" w:rsidP="000230E1">
              <w:pPr>
                <w:jc w:val="both"/>
                <w:rPr>
                  <w:rFonts w:ascii="Arial" w:hAnsi="Arial" w:cs="Arial"/>
                  <w:sz w:val="20"/>
                  <w:szCs w:val="20"/>
                </w:rPr>
              </w:pPr>
              <w:r w:rsidRPr="000230E1">
                <w:rPr>
                  <w:rFonts w:ascii="Arial" w:hAnsi="Arial" w:cs="Arial"/>
                  <w:sz w:val="20"/>
                  <w:szCs w:val="20"/>
                </w:rPr>
                <w:t>The working party thought the following areas of consumer communications could be improved:</w:t>
              </w:r>
            </w:p>
            <w:p w14:paraId="434248DB" w14:textId="77777777" w:rsidR="00166D35" w:rsidRPr="000230E1" w:rsidRDefault="00166D35" w:rsidP="000230E1">
              <w:pPr>
                <w:pStyle w:val="ListParagraph"/>
                <w:numPr>
                  <w:ilvl w:val="0"/>
                  <w:numId w:val="15"/>
                </w:numPr>
                <w:spacing w:after="240"/>
                <w:jc w:val="both"/>
                <w:rPr>
                  <w:rFonts w:cs="Arial"/>
                  <w:szCs w:val="20"/>
                </w:rPr>
              </w:pPr>
              <w:r w:rsidRPr="000230E1">
                <w:rPr>
                  <w:rFonts w:cs="Arial"/>
                  <w:szCs w:val="20"/>
                </w:rPr>
                <w:t>The value of any premiums paid since the last regular communication: Less than a third of the communications reviewed included the monthly premium. It is good practice for the first figure which appears in a statement to be something a consumer is familiar with, namely, the amount they pay an insurer for their policy, and if included at the start of a statement, this value then sets the context for the figures that follow</w:t>
              </w:r>
              <w:r w:rsidRPr="000230E1">
                <w:rPr>
                  <w:rStyle w:val="FootnoteReference"/>
                  <w:rFonts w:cs="Arial"/>
                  <w:szCs w:val="20"/>
                </w:rPr>
                <w:footnoteReference w:id="11"/>
              </w:r>
              <w:r w:rsidRPr="000230E1">
                <w:rPr>
                  <w:rFonts w:cs="Arial"/>
                  <w:szCs w:val="20"/>
                </w:rPr>
                <w:t xml:space="preserve">. </w:t>
              </w:r>
            </w:p>
            <w:p w14:paraId="60F1E2C2" w14:textId="0C40D6AB" w:rsidR="00166D35" w:rsidRPr="000230E1" w:rsidRDefault="00166D35" w:rsidP="000230E1">
              <w:pPr>
                <w:pStyle w:val="ListParagraph"/>
                <w:numPr>
                  <w:ilvl w:val="0"/>
                  <w:numId w:val="15"/>
                </w:numPr>
                <w:spacing w:after="240"/>
                <w:jc w:val="both"/>
                <w:rPr>
                  <w:rFonts w:cs="Arial"/>
                  <w:szCs w:val="20"/>
                </w:rPr>
              </w:pPr>
              <w:r w:rsidRPr="000230E1">
                <w:rPr>
                  <w:rFonts w:cs="Arial"/>
                  <w:szCs w:val="20"/>
                </w:rPr>
                <w:t>Many communications seemed to place a focus on the fact that benefits were only payable as long as you had paid all of your premiums. In a few communications, this statement was included multiple times within the guaranteed value section of a statement, and doing this migh</w:t>
              </w:r>
              <w:r w:rsidRPr="00D03045">
                <w:rPr>
                  <w:rFonts w:cs="Arial"/>
                  <w:szCs w:val="20"/>
                </w:rPr>
                <w:t xml:space="preserve">t </w:t>
              </w:r>
              <w:r w:rsidRPr="000230E1">
                <w:rPr>
                  <w:rFonts w:cs="Arial"/>
                  <w:szCs w:val="20"/>
                </w:rPr>
                <w:t>detract from the importance and value of the guarantees. We suggest a statement be included at the start of a communication, such as ‘The guaranteed benefits amounts which follow are only payable if you we have received all of your premiums due’.</w:t>
              </w:r>
              <w:r w:rsidR="00F22FB7">
                <w:rPr>
                  <w:rFonts w:cs="Arial"/>
                  <w:szCs w:val="20"/>
                </w:rPr>
                <w:t xml:space="preserve"> </w:t>
              </w:r>
              <w:r w:rsidRPr="000230E1">
                <w:rPr>
                  <w:rFonts w:cs="Arial"/>
                  <w:szCs w:val="20"/>
                </w:rPr>
                <w:t xml:space="preserve">This statement, in conjunction with the value of premiums paid since the last regular communication (as above), then sets the context for any figures which follow. </w:t>
              </w:r>
            </w:p>
            <w:p w14:paraId="3A950737" w14:textId="77777777" w:rsidR="00166D35" w:rsidRPr="000230E1" w:rsidRDefault="00166D35" w:rsidP="00166D35">
              <w:pPr>
                <w:pStyle w:val="ListParagraph"/>
                <w:numPr>
                  <w:ilvl w:val="0"/>
                  <w:numId w:val="15"/>
                </w:numPr>
                <w:spacing w:after="240"/>
                <w:jc w:val="both"/>
                <w:rPr>
                  <w:rFonts w:cs="Arial"/>
                  <w:szCs w:val="20"/>
                </w:rPr>
              </w:pPr>
              <w:r w:rsidRPr="000230E1">
                <w:rPr>
                  <w:rFonts w:cs="Arial"/>
                  <w:szCs w:val="20"/>
                </w:rPr>
                <w:t>FG16/8 suggests that an explanation of the charges being deducted – for example, the guarantees that incur a charge and policy fees – and an indicative level of charge (in monetary terms) applicable to the policy are included in a communication. Although this might be challenging to ascertain for conventional plans, this information was included in half of the investments communications reviewed, and although we acknowledge the inclusion of this information could be widely interpreted by a consumer, we would encourage the inclusion of this information in conventional and pensions communications.</w:t>
              </w:r>
            </w:p>
            <w:p w14:paraId="0242A18D" w14:textId="77777777" w:rsidR="00166D35" w:rsidRDefault="00166D35" w:rsidP="00166D35">
              <w:r>
                <w:rPr>
                  <w:noProof/>
                </w:rPr>
                <w:drawing>
                  <wp:inline distT="0" distB="0" distL="0" distR="0" wp14:anchorId="467CD25B" wp14:editId="3D9ED0F0">
                    <wp:extent cx="5524500" cy="3924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5524500" cy="3924300"/>
                            </a:xfrm>
                            <a:prstGeom prst="rect">
                              <a:avLst/>
                            </a:prstGeom>
                          </pic:spPr>
                        </pic:pic>
                      </a:graphicData>
                    </a:graphic>
                  </wp:inline>
                </w:drawing>
              </w:r>
            </w:p>
            <w:p w14:paraId="513C4629" w14:textId="77777777" w:rsidR="00166D35" w:rsidRDefault="00166D35" w:rsidP="00166D35">
              <w:r>
                <w:rPr>
                  <w:noProof/>
                </w:rPr>
                <w:lastRenderedPageBreak/>
                <w:drawing>
                  <wp:inline distT="0" distB="0" distL="0" distR="0" wp14:anchorId="10C265E6" wp14:editId="0CCBF2D0">
                    <wp:extent cx="5295900" cy="27241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5295900" cy="2724150"/>
                            </a:xfrm>
                            <a:prstGeom prst="rect">
                              <a:avLst/>
                            </a:prstGeom>
                          </pic:spPr>
                        </pic:pic>
                      </a:graphicData>
                    </a:graphic>
                  </wp:inline>
                </w:drawing>
              </w:r>
            </w:p>
            <w:p w14:paraId="105C659F" w14:textId="77777777" w:rsidR="00166D35" w:rsidRPr="000230E1" w:rsidRDefault="00166D35" w:rsidP="00166D35">
              <w:pPr>
                <w:spacing w:after="240"/>
                <w:jc w:val="both"/>
                <w:rPr>
                  <w:rFonts w:ascii="Arial" w:hAnsi="Arial" w:cs="Arial"/>
                  <w:sz w:val="20"/>
                  <w:szCs w:val="20"/>
                </w:rPr>
              </w:pPr>
              <w:r w:rsidRPr="000230E1">
                <w:rPr>
                  <w:rFonts w:ascii="Arial" w:hAnsi="Arial" w:cs="Arial"/>
                  <w:sz w:val="20"/>
                  <w:szCs w:val="20"/>
                </w:rPr>
                <w:t>Table 3: Conventional With-profits communications review example</w:t>
              </w:r>
            </w:p>
            <w:p w14:paraId="43B33D42" w14:textId="77777777" w:rsidR="00166D35" w:rsidRPr="000230E1" w:rsidRDefault="00166D35" w:rsidP="00166D35">
              <w:pPr>
                <w:pStyle w:val="ListParagraph"/>
                <w:numPr>
                  <w:ilvl w:val="0"/>
                  <w:numId w:val="15"/>
                </w:numPr>
                <w:spacing w:after="240"/>
                <w:jc w:val="both"/>
                <w:rPr>
                  <w:rFonts w:cs="Arial"/>
                  <w:szCs w:val="20"/>
                </w:rPr>
              </w:pPr>
              <w:r w:rsidRPr="00023B63">
                <w:rPr>
                  <w:rFonts w:cs="Arial"/>
                  <w:szCs w:val="20"/>
                </w:rPr>
                <w:t>The review highlighted that it wasn’t always obviously clear to a reader what was guaranteed and what was not. In the proposed example in Table 3 we have clearly distinguished the guaranteed benefits from the non-guaranteed benefits.</w:t>
              </w:r>
            </w:p>
            <w:p w14:paraId="4E41E52B" w14:textId="77777777" w:rsidR="00166D35" w:rsidRPr="000230E1" w:rsidRDefault="00166D35" w:rsidP="00166D35">
              <w:pPr>
                <w:pStyle w:val="ListParagraph"/>
                <w:numPr>
                  <w:ilvl w:val="0"/>
                  <w:numId w:val="15"/>
                </w:numPr>
                <w:spacing w:after="240"/>
                <w:jc w:val="both"/>
                <w:rPr>
                  <w:rFonts w:cs="Arial"/>
                  <w:szCs w:val="20"/>
                </w:rPr>
              </w:pPr>
              <w:r w:rsidRPr="00023B63">
                <w:rPr>
                  <w:rFonts w:cs="Arial"/>
                  <w:szCs w:val="20"/>
                </w:rPr>
                <w:t>Some communica</w:t>
              </w:r>
              <w:r w:rsidRPr="005E7E4E">
                <w:rPr>
                  <w:rFonts w:cs="Arial"/>
                  <w:szCs w:val="20"/>
                </w:rPr>
                <w:t xml:space="preserve">tions only used the term minimum, and did not use the term guaranteed, even though it was applicable, and vice versa. The review also highlighted that it wasn’t necessarily clear in some instances that a reader had to add two or three numbers together, in </w:t>
              </w:r>
              <w:r w:rsidRPr="003F283C">
                <w:rPr>
                  <w:rFonts w:cs="Arial"/>
                  <w:szCs w:val="20"/>
                </w:rPr>
                <w:t>order to arrive at the total guaranteed value.  Where this was included, this was either by using the word ‘plus’ or a by using ‘+’ symbol. The example in Table 3 supports the continued use of t</w:t>
              </w:r>
              <w:r w:rsidRPr="00BB3365">
                <w:rPr>
                  <w:rFonts w:cs="Arial"/>
                  <w:szCs w:val="20"/>
                </w:rPr>
                <w:t>his, and the wording proposed clearly indicates the regular bonus is payable in addition to the basic sum assured.</w:t>
              </w:r>
            </w:p>
            <w:p w14:paraId="51017471" w14:textId="77777777" w:rsidR="00166D35" w:rsidRPr="000230E1" w:rsidRDefault="00166D35" w:rsidP="00166D35">
              <w:pPr>
                <w:pStyle w:val="ListParagraph"/>
                <w:numPr>
                  <w:ilvl w:val="0"/>
                  <w:numId w:val="15"/>
                </w:numPr>
                <w:spacing w:after="240"/>
                <w:jc w:val="both"/>
                <w:rPr>
                  <w:rFonts w:cs="Arial"/>
                  <w:szCs w:val="20"/>
                </w:rPr>
              </w:pPr>
              <w:r w:rsidRPr="000230E1">
                <w:rPr>
                  <w:rFonts w:cs="Arial"/>
                  <w:szCs w:val="20"/>
                </w:rPr>
                <w:t xml:space="preserve">The example in Table 3 then distinguishes the non-guaranteed elements of the policy, and where possible, includes their associated value. </w:t>
              </w:r>
              <w:r w:rsidRPr="000230E1">
                <w:rPr>
                  <w:rFonts w:cs="Arial"/>
                  <w:i/>
                  <w:szCs w:val="20"/>
                </w:rPr>
                <w:t xml:space="preserve">FG16/8 suggests firms should explain the impact of any likely terminal bonus on the current value and any reductions in asset share that will reduce the current value on surrender. </w:t>
              </w:r>
              <w:r w:rsidRPr="000230E1">
                <w:rPr>
                  <w:rFonts w:cs="Arial"/>
                  <w:szCs w:val="20"/>
                </w:rPr>
                <w:t xml:space="preserve"> A quarter of communications in this category stated a final bonus might be payable, but none provided a value.</w:t>
              </w:r>
            </w:p>
            <w:p w14:paraId="3FDCFA61" w14:textId="77777777" w:rsidR="00166D35" w:rsidRPr="000230E1" w:rsidRDefault="00166D35" w:rsidP="00166D35">
              <w:pPr>
                <w:pStyle w:val="ListParagraph"/>
                <w:numPr>
                  <w:ilvl w:val="0"/>
                  <w:numId w:val="15"/>
                </w:numPr>
                <w:spacing w:after="240"/>
                <w:jc w:val="both"/>
                <w:rPr>
                  <w:rFonts w:cs="Arial"/>
                  <w:szCs w:val="20"/>
                </w:rPr>
              </w:pPr>
              <w:r w:rsidRPr="000230E1">
                <w:rPr>
                  <w:rFonts w:cs="Arial"/>
                  <w:szCs w:val="20"/>
                </w:rPr>
                <w:t>Only 8% of the conventional communications included a surrender value, although a few referred to policy documentation, or included a slip request for a surrender value form. Given both terminal bonus and surrender value are important contributors to the value of a with-profits policy, we have included these in our proposed example, and we believe these should be included in a statement.</w:t>
              </w:r>
            </w:p>
            <w:p w14:paraId="1B7E2139" w14:textId="77777777" w:rsidR="00166D35" w:rsidRPr="000230E1" w:rsidRDefault="00166D35" w:rsidP="00166D35">
              <w:pPr>
                <w:pStyle w:val="ListParagraph"/>
                <w:numPr>
                  <w:ilvl w:val="0"/>
                  <w:numId w:val="15"/>
                </w:numPr>
                <w:spacing w:after="240"/>
                <w:jc w:val="both"/>
                <w:rPr>
                  <w:rFonts w:cs="Arial"/>
                  <w:szCs w:val="20"/>
                </w:rPr>
              </w:pPr>
              <w:r w:rsidRPr="000230E1">
                <w:rPr>
                  <w:rFonts w:cs="Arial"/>
                  <w:szCs w:val="20"/>
                </w:rPr>
                <w:t>The example in Table 3 includes a final placeholder for plans which had a guaranteed minimum death benefit floor. More generally FG16/8 suggests customers should be given a reminder of any specific options and benefits associated with their policy.</w:t>
              </w:r>
            </w:p>
            <w:p w14:paraId="50CD5435" w14:textId="77777777" w:rsidR="00166D35" w:rsidRDefault="00166D35" w:rsidP="00166D35">
              <w:pPr>
                <w:rPr>
                  <w:rFonts w:ascii="Arial" w:hAnsi="Arial" w:cs="Arial"/>
                  <w:sz w:val="20"/>
                  <w:szCs w:val="20"/>
                </w:rPr>
              </w:pPr>
              <w:r>
                <w:rPr>
                  <w:noProof/>
                </w:rPr>
                <w:lastRenderedPageBreak/>
                <w:drawing>
                  <wp:inline distT="0" distB="0" distL="0" distR="0" wp14:anchorId="072EC944" wp14:editId="28EBF5EB">
                    <wp:extent cx="5362575" cy="24574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5362575" cy="2457450"/>
                            </a:xfrm>
                            <a:prstGeom prst="rect">
                              <a:avLst/>
                            </a:prstGeom>
                          </pic:spPr>
                        </pic:pic>
                      </a:graphicData>
                    </a:graphic>
                  </wp:inline>
                </w:drawing>
              </w:r>
            </w:p>
            <w:p w14:paraId="7024608C" w14:textId="77777777" w:rsidR="00166D35" w:rsidRPr="000230E1" w:rsidRDefault="00166D35" w:rsidP="000230E1">
              <w:pPr>
                <w:spacing w:after="240"/>
                <w:jc w:val="both"/>
                <w:rPr>
                  <w:rFonts w:ascii="Arial" w:hAnsi="Arial" w:cs="Arial"/>
                  <w:sz w:val="20"/>
                  <w:szCs w:val="20"/>
                </w:rPr>
              </w:pPr>
              <w:r w:rsidRPr="000230E1">
                <w:rPr>
                  <w:rFonts w:ascii="Arial" w:hAnsi="Arial" w:cs="Arial"/>
                  <w:sz w:val="20"/>
                  <w:szCs w:val="20"/>
                </w:rPr>
                <w:t>Figure 2: Conventional With-profits communications review graphic</w:t>
              </w:r>
            </w:p>
            <w:p w14:paraId="3E98DF42" w14:textId="77777777" w:rsidR="00166D35" w:rsidRPr="000230E1" w:rsidRDefault="00166D35" w:rsidP="000230E1">
              <w:pPr>
                <w:jc w:val="both"/>
                <w:rPr>
                  <w:rFonts w:ascii="Arial" w:hAnsi="Arial" w:cs="Arial"/>
                  <w:sz w:val="20"/>
                  <w:szCs w:val="20"/>
                </w:rPr>
              </w:pPr>
              <w:r w:rsidRPr="000230E1">
                <w:rPr>
                  <w:rFonts w:ascii="Arial" w:hAnsi="Arial" w:cs="Arial"/>
                  <w:sz w:val="20"/>
                  <w:szCs w:val="20"/>
                </w:rPr>
                <w:t xml:space="preserve">Figure 2 represents a simple graphic inspired by a more detailed graphic included in one of the communications reviewed. It visually demonstrated plan value to a reader, linking the figures included in Table 3 above. </w:t>
              </w:r>
            </w:p>
            <w:p w14:paraId="09B9BF52" w14:textId="77777777" w:rsidR="00166D35" w:rsidRDefault="00166D35" w:rsidP="00166D35"/>
            <w:p w14:paraId="35ED662F" w14:textId="77777777" w:rsidR="00166D35" w:rsidRDefault="00166D35" w:rsidP="00166D35"/>
            <w:p w14:paraId="6F75F828" w14:textId="77777777" w:rsidR="001B480F" w:rsidRDefault="001B480F">
              <w:r>
                <w:br w:type="page"/>
              </w:r>
            </w:p>
            <w:p w14:paraId="1BBE03A1" w14:textId="77777777" w:rsidR="00166D35" w:rsidRDefault="00166D35" w:rsidP="00166D35">
              <w:pPr>
                <w:rPr>
                  <w:rFonts w:ascii="Arial" w:hAnsi="Arial" w:cs="Arial"/>
                  <w:sz w:val="20"/>
                  <w:szCs w:val="20"/>
                </w:rPr>
              </w:pPr>
              <w:r>
                <w:rPr>
                  <w:noProof/>
                </w:rPr>
                <w:lastRenderedPageBreak/>
                <w:drawing>
                  <wp:inline distT="0" distB="0" distL="0" distR="0" wp14:anchorId="7F460565" wp14:editId="3C49E968">
                    <wp:extent cx="5731510" cy="2673350"/>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5731510" cy="2673350"/>
                            </a:xfrm>
                            <a:prstGeom prst="rect">
                              <a:avLst/>
                            </a:prstGeom>
                          </pic:spPr>
                        </pic:pic>
                      </a:graphicData>
                    </a:graphic>
                  </wp:inline>
                </w:drawing>
              </w:r>
            </w:p>
            <w:p w14:paraId="639DFCF2" w14:textId="77777777" w:rsidR="00166D35" w:rsidRDefault="00166D35" w:rsidP="00166D35">
              <w:pPr>
                <w:rPr>
                  <w:rFonts w:ascii="Arial" w:hAnsi="Arial" w:cs="Arial"/>
                  <w:sz w:val="20"/>
                  <w:szCs w:val="20"/>
                </w:rPr>
              </w:pPr>
              <w:r>
                <w:rPr>
                  <w:noProof/>
                </w:rPr>
                <w:drawing>
                  <wp:inline distT="0" distB="0" distL="0" distR="0" wp14:anchorId="7A8BFC0A" wp14:editId="675113DA">
                    <wp:extent cx="5267325" cy="27527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5267325" cy="2752725"/>
                            </a:xfrm>
                            <a:prstGeom prst="rect">
                              <a:avLst/>
                            </a:prstGeom>
                          </pic:spPr>
                        </pic:pic>
                      </a:graphicData>
                    </a:graphic>
                  </wp:inline>
                </w:drawing>
              </w:r>
            </w:p>
            <w:p w14:paraId="3EFDB85D" w14:textId="77777777" w:rsidR="00166D35" w:rsidRPr="000230E1" w:rsidRDefault="00166D35" w:rsidP="00166D35">
              <w:pPr>
                <w:spacing w:after="240"/>
                <w:jc w:val="both"/>
                <w:rPr>
                  <w:rFonts w:ascii="Arial" w:hAnsi="Arial" w:cs="Arial"/>
                  <w:sz w:val="20"/>
                  <w:szCs w:val="20"/>
                </w:rPr>
              </w:pPr>
              <w:r w:rsidRPr="000230E1">
                <w:rPr>
                  <w:rFonts w:ascii="Arial" w:hAnsi="Arial" w:cs="Arial"/>
                  <w:sz w:val="20"/>
                  <w:szCs w:val="20"/>
                </w:rPr>
                <w:t>Table 4: With-Profits Pensions and Investments communications review example</w:t>
              </w:r>
            </w:p>
            <w:p w14:paraId="2696A992" w14:textId="77777777" w:rsidR="00166D35" w:rsidRPr="000230E1" w:rsidRDefault="00166D35" w:rsidP="00166D35">
              <w:pPr>
                <w:pStyle w:val="ListParagraph"/>
                <w:numPr>
                  <w:ilvl w:val="0"/>
                  <w:numId w:val="15"/>
                </w:numPr>
                <w:spacing w:after="240"/>
                <w:jc w:val="both"/>
                <w:rPr>
                  <w:rFonts w:cs="Arial"/>
                  <w:szCs w:val="20"/>
                </w:rPr>
              </w:pPr>
              <w:r w:rsidRPr="000230E1">
                <w:rPr>
                  <w:rFonts w:cs="Arial"/>
                  <w:szCs w:val="20"/>
                </w:rPr>
                <w:t>It was challenging to distinguish the guaranteed elements from the non-guaranteed elements, as some with-profits funds were structured with the ability to invest in other funds, so we’ve proposed an example in Table 4 above which should fit the majority of with-profits Pensions and Investment statements, and distinguished any bonus units from fund units</w:t>
              </w:r>
            </w:p>
            <w:p w14:paraId="7CF3FB16" w14:textId="77777777" w:rsidR="00166D35" w:rsidRPr="000230E1" w:rsidRDefault="00166D35" w:rsidP="00166D35">
              <w:pPr>
                <w:pStyle w:val="ListParagraph"/>
                <w:numPr>
                  <w:ilvl w:val="0"/>
                  <w:numId w:val="15"/>
                </w:numPr>
                <w:spacing w:after="240"/>
                <w:jc w:val="both"/>
                <w:rPr>
                  <w:rFonts w:cs="Arial"/>
                  <w:szCs w:val="20"/>
                </w:rPr>
              </w:pPr>
              <w:r w:rsidRPr="000230E1">
                <w:rPr>
                  <w:rFonts w:cs="Arial"/>
                  <w:szCs w:val="20"/>
                </w:rPr>
                <w:t>The example in Table 4 supports the continued use of a multiplication sign to ensure a consumer understands they need to multiply the number of units by the unit price, as this wasn’t necessarily obvious to a reader. The example in Table 4 also supports the continued use of a plus sign, as sometimes it wasn’t clear a reader had to add three fund values together to obtain their total fund value.</w:t>
              </w:r>
            </w:p>
            <w:p w14:paraId="36F46BE9" w14:textId="77777777" w:rsidR="00166D35" w:rsidRPr="000230E1" w:rsidRDefault="00166D35" w:rsidP="00166D35">
              <w:pPr>
                <w:pStyle w:val="ListParagraph"/>
                <w:numPr>
                  <w:ilvl w:val="0"/>
                  <w:numId w:val="15"/>
                </w:numPr>
                <w:spacing w:after="240"/>
                <w:jc w:val="both"/>
                <w:rPr>
                  <w:rFonts w:cs="Arial"/>
                  <w:szCs w:val="20"/>
                </w:rPr>
              </w:pPr>
              <w:r w:rsidRPr="000230E1">
                <w:rPr>
                  <w:rFonts w:cs="Arial"/>
                  <w:szCs w:val="20"/>
                </w:rPr>
                <w:t>The example in Table 4 includes a placeholder for interim bonus and final bonus (in contrast to conventional communications, the majority of pensions and investment communications included a value of final bonus).</w:t>
              </w:r>
            </w:p>
            <w:p w14:paraId="59DC994B" w14:textId="77777777" w:rsidR="00166D35" w:rsidRPr="000230E1" w:rsidRDefault="00166D35" w:rsidP="00166D35">
              <w:pPr>
                <w:pStyle w:val="ListParagraph"/>
                <w:numPr>
                  <w:ilvl w:val="0"/>
                  <w:numId w:val="15"/>
                </w:numPr>
                <w:spacing w:after="240"/>
                <w:jc w:val="both"/>
                <w:rPr>
                  <w:rFonts w:cs="Arial"/>
                  <w:szCs w:val="20"/>
                </w:rPr>
              </w:pPr>
              <w:r w:rsidRPr="000230E1">
                <w:rPr>
                  <w:rFonts w:cs="Arial"/>
                  <w:szCs w:val="20"/>
                </w:rPr>
                <w:t>Some statements clearly explained a market value reduction and showed how this might be applied, even where the current value was zero, and the example in Table 4 supports the continued use of this.</w:t>
              </w:r>
            </w:p>
            <w:p w14:paraId="7EF1AF4E" w14:textId="77777777" w:rsidR="00166D35" w:rsidRPr="000230E1" w:rsidRDefault="00166D35" w:rsidP="00166D35">
              <w:pPr>
                <w:pStyle w:val="ListParagraph"/>
                <w:numPr>
                  <w:ilvl w:val="0"/>
                  <w:numId w:val="15"/>
                </w:numPr>
                <w:spacing w:after="240"/>
                <w:jc w:val="both"/>
                <w:rPr>
                  <w:rFonts w:cs="Arial"/>
                  <w:szCs w:val="20"/>
                </w:rPr>
              </w:pPr>
              <w:r w:rsidRPr="000230E1">
                <w:rPr>
                  <w:rFonts w:cs="Arial"/>
                  <w:szCs w:val="20"/>
                </w:rPr>
                <w:lastRenderedPageBreak/>
                <w:t>The example in Table 4 includes a placeholder for any other options or guarantees associated, given here as a guaranteed minimum benefit on death.</w:t>
              </w:r>
            </w:p>
            <w:p w14:paraId="18DF341B" w14:textId="77777777" w:rsidR="00166D35" w:rsidRDefault="00166D35" w:rsidP="00166D35">
              <w:r>
                <w:rPr>
                  <w:noProof/>
                </w:rPr>
                <w:drawing>
                  <wp:inline distT="0" distB="0" distL="0" distR="0" wp14:anchorId="2C7374BA" wp14:editId="6451D7F0">
                    <wp:extent cx="5731510" cy="882015"/>
                    <wp:effectExtent l="0" t="0" r="254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5731510" cy="882015"/>
                            </a:xfrm>
                            <a:prstGeom prst="rect">
                              <a:avLst/>
                            </a:prstGeom>
                          </pic:spPr>
                        </pic:pic>
                      </a:graphicData>
                    </a:graphic>
                  </wp:inline>
                </w:drawing>
              </w:r>
            </w:p>
            <w:p w14:paraId="45DEB185" w14:textId="77777777" w:rsidR="00166D35" w:rsidRPr="000230E1" w:rsidRDefault="00166D35" w:rsidP="000230E1">
              <w:pPr>
                <w:spacing w:after="240"/>
                <w:jc w:val="both"/>
                <w:rPr>
                  <w:rFonts w:ascii="Arial" w:hAnsi="Arial" w:cs="Arial"/>
                  <w:sz w:val="20"/>
                  <w:szCs w:val="20"/>
                </w:rPr>
              </w:pPr>
              <w:r w:rsidRPr="000230E1">
                <w:rPr>
                  <w:rFonts w:ascii="Arial" w:hAnsi="Arial" w:cs="Arial"/>
                  <w:sz w:val="20"/>
                  <w:szCs w:val="20"/>
                </w:rPr>
                <w:t>Figure 3: With-Profits Pensions and Investments communications review graphic</w:t>
              </w:r>
            </w:p>
            <w:p w14:paraId="0B4D209F" w14:textId="77777777" w:rsidR="00166D35" w:rsidRPr="000230E1" w:rsidRDefault="00166D35" w:rsidP="000230E1">
              <w:pPr>
                <w:jc w:val="both"/>
                <w:rPr>
                  <w:rFonts w:ascii="Arial" w:hAnsi="Arial" w:cs="Arial"/>
                  <w:sz w:val="20"/>
                  <w:szCs w:val="20"/>
                </w:rPr>
              </w:pPr>
              <w:r w:rsidRPr="000230E1">
                <w:rPr>
                  <w:rFonts w:ascii="Arial" w:hAnsi="Arial" w:cs="Arial"/>
                  <w:sz w:val="20"/>
                  <w:szCs w:val="20"/>
                </w:rPr>
                <w:t>The sample graphic in Figure 3 above was inspired by one of the communications reviewed. Its simplicity visually demonstrates the plan value to a reader, linking the figures included in Table 4 above.</w:t>
              </w:r>
            </w:p>
            <w:p w14:paraId="28E93D6B" w14:textId="77777777" w:rsidR="00166D35" w:rsidRPr="000230E1" w:rsidRDefault="00166D35" w:rsidP="000230E1">
              <w:pPr>
                <w:jc w:val="both"/>
                <w:rPr>
                  <w:rFonts w:ascii="Arial" w:hAnsi="Arial" w:cs="Arial"/>
                  <w:b/>
                  <w:sz w:val="20"/>
                  <w:szCs w:val="20"/>
                </w:rPr>
              </w:pPr>
              <w:r w:rsidRPr="000230E1">
                <w:rPr>
                  <w:rFonts w:ascii="Arial" w:hAnsi="Arial" w:cs="Arial"/>
                  <w:b/>
                  <w:sz w:val="20"/>
                  <w:szCs w:val="20"/>
                </w:rPr>
                <w:t>4.4 Summary</w:t>
              </w:r>
            </w:p>
            <w:p w14:paraId="3D8FE7B9" w14:textId="11CF7BA2" w:rsidR="00797372" w:rsidRPr="00893B5C" w:rsidRDefault="00166D35" w:rsidP="004226CC">
              <w:pPr>
                <w:jc w:val="both"/>
                <w:rPr>
                  <w:rFonts w:ascii="Arial" w:hAnsi="Arial" w:cs="Arial"/>
                  <w:sz w:val="20"/>
                  <w:szCs w:val="20"/>
                </w:rPr>
              </w:pPr>
              <w:r w:rsidRPr="000230E1">
                <w:rPr>
                  <w:rFonts w:ascii="Arial" w:hAnsi="Arial" w:cs="Arial"/>
                  <w:sz w:val="20"/>
                  <w:szCs w:val="20"/>
                </w:rPr>
                <w:t>We have suggested a few examples in a standardised format which we believe would help the</w:t>
              </w:r>
              <w:r w:rsidR="00372875">
                <w:rPr>
                  <w:rFonts w:ascii="Arial" w:hAnsi="Arial" w:cs="Arial"/>
                  <w:sz w:val="20"/>
                  <w:szCs w:val="20"/>
                </w:rPr>
                <w:t>m</w:t>
              </w:r>
              <w:r w:rsidRPr="000230E1">
                <w:rPr>
                  <w:rFonts w:ascii="Arial" w:hAnsi="Arial" w:cs="Arial"/>
                  <w:sz w:val="20"/>
                  <w:szCs w:val="20"/>
                </w:rPr>
                <w:t xml:space="preserve"> improve the consistency of with-profits communications from different providers. Providers are encouraged to ensure their communications continue to meet the needs of customers and we trust the examples provided will allow providers to question the value a consumer would draw from their communication. Focus should be placed on encouraging better, more helpful communications with consumers.</w:t>
              </w:r>
              <w:r w:rsidR="004226CC">
                <w:rPr>
                  <w:rFonts w:ascii="Arial" w:hAnsi="Arial" w:cs="Arial"/>
                  <w:sz w:val="20"/>
                  <w:szCs w:val="20"/>
                </w:rPr>
                <w:t xml:space="preserve"> </w:t>
              </w:r>
            </w:p>
          </w:sdtContent>
        </w:sdt>
      </w:sdtContent>
    </w:sdt>
    <w:p w14:paraId="55CC29A6" w14:textId="3DD56A0B" w:rsidR="00797372" w:rsidRPr="00893B5C" w:rsidRDefault="00797372" w:rsidP="00797372">
      <w:pPr>
        <w:pStyle w:val="Footer"/>
        <w:rPr>
          <w:rFonts w:ascii="Arial" w:hAnsi="Arial" w:cs="Arial"/>
          <w:sz w:val="20"/>
          <w:szCs w:val="20"/>
        </w:rPr>
      </w:pPr>
    </w:p>
    <w:p w14:paraId="14669DF3" w14:textId="77777777" w:rsidR="00797372" w:rsidRPr="00893B5C" w:rsidRDefault="00797372" w:rsidP="00797372">
      <w:pPr>
        <w:rPr>
          <w:rFonts w:ascii="Arial" w:hAnsi="Arial" w:cs="Arial"/>
          <w:b/>
          <w:sz w:val="20"/>
          <w:szCs w:val="20"/>
        </w:rPr>
      </w:pPr>
      <w:r w:rsidRPr="00893B5C">
        <w:rPr>
          <w:rFonts w:ascii="Arial" w:hAnsi="Arial" w:cs="Arial"/>
          <w:b/>
          <w:sz w:val="20"/>
          <w:szCs w:val="20"/>
        </w:rPr>
        <w:t>Conclusions</w:t>
      </w:r>
    </w:p>
    <w:p w14:paraId="2F1A33AD" w14:textId="3F53ED49" w:rsidR="00574E30" w:rsidRDefault="00024DE0" w:rsidP="0045384B">
      <w:pPr>
        <w:numPr>
          <w:ilvl w:val="0"/>
          <w:numId w:val="20"/>
        </w:numPr>
        <w:rPr>
          <w:rFonts w:ascii="Arial" w:hAnsi="Arial" w:cs="Arial"/>
          <w:sz w:val="20"/>
          <w:szCs w:val="20"/>
        </w:rPr>
      </w:pPr>
      <w:r w:rsidRPr="00372875">
        <w:rPr>
          <w:rFonts w:ascii="Arial" w:hAnsi="Arial" w:cs="Arial"/>
          <w:sz w:val="20"/>
          <w:szCs w:val="20"/>
        </w:rPr>
        <w:t xml:space="preserve">The performance of with-profits has been comparable to UL or FTSE, but </w:t>
      </w:r>
      <w:r w:rsidR="00372875">
        <w:rPr>
          <w:rFonts w:ascii="Arial" w:hAnsi="Arial" w:cs="Arial"/>
          <w:sz w:val="20"/>
          <w:szCs w:val="20"/>
        </w:rPr>
        <w:t xml:space="preserve">has </w:t>
      </w:r>
      <w:r w:rsidRPr="00372875">
        <w:rPr>
          <w:rFonts w:ascii="Arial" w:hAnsi="Arial" w:cs="Arial"/>
          <w:sz w:val="20"/>
          <w:szCs w:val="20"/>
        </w:rPr>
        <w:t>provided the additional security offered by guarantees</w:t>
      </w:r>
    </w:p>
    <w:p w14:paraId="1B3D3C15" w14:textId="11C2D833" w:rsidR="00BB68B3" w:rsidRPr="00180C2A" w:rsidRDefault="0045384B" w:rsidP="00372875">
      <w:pPr>
        <w:numPr>
          <w:ilvl w:val="1"/>
          <w:numId w:val="20"/>
        </w:numPr>
        <w:rPr>
          <w:rFonts w:ascii="Arial" w:hAnsi="Arial" w:cs="Arial"/>
          <w:sz w:val="20"/>
          <w:szCs w:val="20"/>
        </w:rPr>
      </w:pPr>
      <w:r>
        <w:rPr>
          <w:rFonts w:ascii="Arial" w:hAnsi="Arial" w:cs="Arial"/>
          <w:sz w:val="20"/>
          <w:szCs w:val="20"/>
        </w:rPr>
        <w:t xml:space="preserve">However </w:t>
      </w:r>
      <w:r w:rsidR="00372875">
        <w:rPr>
          <w:rFonts w:ascii="Arial" w:hAnsi="Arial" w:cs="Arial"/>
          <w:sz w:val="20"/>
          <w:szCs w:val="20"/>
        </w:rPr>
        <w:t xml:space="preserve">performance in terms of </w:t>
      </w:r>
      <w:proofErr w:type="spellStart"/>
      <w:r w:rsidR="00372875">
        <w:rPr>
          <w:rFonts w:ascii="Arial" w:hAnsi="Arial" w:cs="Arial"/>
          <w:sz w:val="20"/>
          <w:szCs w:val="20"/>
        </w:rPr>
        <w:t>payouts</w:t>
      </w:r>
      <w:proofErr w:type="spellEnd"/>
      <w:r w:rsidR="00372875">
        <w:rPr>
          <w:rFonts w:ascii="Arial" w:hAnsi="Arial" w:cs="Arial"/>
          <w:sz w:val="20"/>
          <w:szCs w:val="20"/>
        </w:rPr>
        <w:t xml:space="preserve"> </w:t>
      </w:r>
      <w:r>
        <w:rPr>
          <w:rFonts w:ascii="Arial" w:hAnsi="Arial" w:cs="Arial"/>
          <w:sz w:val="20"/>
          <w:szCs w:val="20"/>
        </w:rPr>
        <w:t>is very variable and highly dependent upon the with-profits fund chosen</w:t>
      </w:r>
    </w:p>
    <w:p w14:paraId="1736A901" w14:textId="77777777" w:rsidR="00574E30" w:rsidRPr="00180C2A" w:rsidRDefault="00024DE0" w:rsidP="0045384B">
      <w:pPr>
        <w:numPr>
          <w:ilvl w:val="0"/>
          <w:numId w:val="20"/>
        </w:numPr>
        <w:rPr>
          <w:rFonts w:ascii="Arial" w:hAnsi="Arial" w:cs="Arial"/>
          <w:sz w:val="20"/>
          <w:szCs w:val="20"/>
        </w:rPr>
      </w:pPr>
      <w:r w:rsidRPr="00180C2A">
        <w:rPr>
          <w:rFonts w:ascii="Arial" w:hAnsi="Arial" w:cs="Arial"/>
          <w:sz w:val="20"/>
          <w:szCs w:val="20"/>
        </w:rPr>
        <w:t>With-profits funds can change markedly over the consumers’ investment lifetime, so ongoing communication is particularly important</w:t>
      </w:r>
    </w:p>
    <w:p w14:paraId="26FE47C2" w14:textId="77777777" w:rsidR="00574E30" w:rsidRPr="00180C2A" w:rsidRDefault="00024DE0" w:rsidP="0045384B">
      <w:pPr>
        <w:numPr>
          <w:ilvl w:val="0"/>
          <w:numId w:val="20"/>
        </w:numPr>
        <w:rPr>
          <w:rFonts w:ascii="Arial" w:hAnsi="Arial" w:cs="Arial"/>
          <w:sz w:val="20"/>
          <w:szCs w:val="20"/>
        </w:rPr>
      </w:pPr>
      <w:r w:rsidRPr="00180C2A">
        <w:rPr>
          <w:rFonts w:ascii="Arial" w:hAnsi="Arial" w:cs="Arial"/>
          <w:sz w:val="20"/>
          <w:szCs w:val="20"/>
        </w:rPr>
        <w:t>Providers should ensure benefit statements continue to meet the needs of consumers</w:t>
      </w:r>
    </w:p>
    <w:p w14:paraId="0413A064" w14:textId="77777777" w:rsidR="00574E30" w:rsidRPr="00180C2A" w:rsidRDefault="0045384B" w:rsidP="0045384B">
      <w:pPr>
        <w:numPr>
          <w:ilvl w:val="0"/>
          <w:numId w:val="20"/>
        </w:numPr>
        <w:rPr>
          <w:rFonts w:ascii="Arial" w:hAnsi="Arial" w:cs="Arial"/>
          <w:sz w:val="20"/>
          <w:szCs w:val="20"/>
        </w:rPr>
      </w:pPr>
      <w:r>
        <w:rPr>
          <w:rFonts w:ascii="Arial" w:hAnsi="Arial" w:cs="Arial"/>
          <w:sz w:val="20"/>
          <w:szCs w:val="20"/>
        </w:rPr>
        <w:t>As a profession w</w:t>
      </w:r>
      <w:r w:rsidR="00024DE0" w:rsidRPr="00180C2A">
        <w:rPr>
          <w:rFonts w:ascii="Arial" w:hAnsi="Arial" w:cs="Arial"/>
          <w:sz w:val="20"/>
          <w:szCs w:val="20"/>
        </w:rPr>
        <w:t>e should focus on encouraging better, more helpful communication with consumers</w:t>
      </w:r>
    </w:p>
    <w:p w14:paraId="7FFCD7AB" w14:textId="79AFD5D1" w:rsidR="0045384B" w:rsidRDefault="00024DE0" w:rsidP="0045384B">
      <w:pPr>
        <w:numPr>
          <w:ilvl w:val="0"/>
          <w:numId w:val="20"/>
        </w:numPr>
        <w:rPr>
          <w:rFonts w:ascii="Arial" w:eastAsia="Times New Roman" w:hAnsi="Arial" w:cs="Arial"/>
          <w:sz w:val="20"/>
          <w:szCs w:val="20"/>
        </w:rPr>
      </w:pPr>
      <w:r w:rsidRPr="00180C2A">
        <w:rPr>
          <w:rFonts w:ascii="Arial" w:hAnsi="Arial" w:cs="Arial"/>
          <w:sz w:val="20"/>
          <w:szCs w:val="20"/>
        </w:rPr>
        <w:t>There is not much existing consumer-specific with-profits research</w:t>
      </w:r>
      <w:r w:rsidR="00372875">
        <w:rPr>
          <w:rFonts w:ascii="Arial" w:hAnsi="Arial" w:cs="Arial"/>
          <w:sz w:val="20"/>
          <w:szCs w:val="20"/>
        </w:rPr>
        <w:t>.</w:t>
      </w:r>
    </w:p>
    <w:p w14:paraId="21EAB5EE" w14:textId="77777777" w:rsidR="00BB68B3" w:rsidRPr="00372875" w:rsidRDefault="0045384B" w:rsidP="00372875">
      <w:pPr>
        <w:jc w:val="both"/>
        <w:rPr>
          <w:rFonts w:ascii="Arial" w:hAnsi="Arial" w:cs="Arial"/>
          <w:sz w:val="20"/>
          <w:szCs w:val="20"/>
        </w:rPr>
      </w:pPr>
      <w:r w:rsidRPr="0045384B">
        <w:rPr>
          <w:rFonts w:ascii="Arial" w:hAnsi="Arial" w:cs="Arial"/>
          <w:sz w:val="20"/>
          <w:szCs w:val="20"/>
        </w:rPr>
        <w:t xml:space="preserve">A consumer survey </w:t>
      </w:r>
      <w:r>
        <w:rPr>
          <w:rFonts w:ascii="Arial" w:hAnsi="Arial" w:cs="Arial"/>
          <w:sz w:val="20"/>
          <w:szCs w:val="20"/>
        </w:rPr>
        <w:t>was</w:t>
      </w:r>
      <w:r w:rsidRPr="0045384B">
        <w:rPr>
          <w:rFonts w:ascii="Arial" w:hAnsi="Arial" w:cs="Arial"/>
          <w:sz w:val="20"/>
          <w:szCs w:val="20"/>
        </w:rPr>
        <w:t xml:space="preserve"> commis</w:t>
      </w:r>
      <w:r>
        <w:rPr>
          <w:rFonts w:ascii="Arial" w:hAnsi="Arial" w:cs="Arial"/>
          <w:sz w:val="20"/>
          <w:szCs w:val="20"/>
        </w:rPr>
        <w:t xml:space="preserve">sioned by the Institute and Faculty of Actuaries in October 2017.  The next Phase of the research of the Working Party was to work with the survey provider to </w:t>
      </w:r>
      <w:r>
        <w:rPr>
          <w:rFonts w:ascii="Arial" w:hAnsi="Arial" w:cs="Arial"/>
          <w:sz w:val="20"/>
          <w:szCs w:val="20"/>
        </w:rPr>
        <w:lastRenderedPageBreak/>
        <w:t>develop appropriate questions for consumers to evaluate the level of engagement consumers have with their with-profits products.  We reported back on the results of the survey at the Life Conference in Edinburgh in November 2017.</w:t>
      </w:r>
    </w:p>
    <w:p w14:paraId="44523A36" w14:textId="77777777" w:rsidR="00BB68B3" w:rsidRDefault="00BB68B3" w:rsidP="00372875">
      <w:pPr>
        <w:ind w:left="720"/>
        <w:rPr>
          <w:rFonts w:ascii="Arial" w:eastAsia="Times New Roman" w:hAnsi="Arial" w:cs="Arial"/>
          <w:sz w:val="20"/>
          <w:szCs w:val="20"/>
        </w:rPr>
      </w:pPr>
    </w:p>
    <w:p w14:paraId="218FFFC9" w14:textId="77777777" w:rsidR="00BB68B3" w:rsidRDefault="00BB68B3" w:rsidP="00372875">
      <w:pPr>
        <w:rPr>
          <w:rFonts w:ascii="Arial" w:eastAsia="Times New Roman" w:hAnsi="Arial" w:cs="Arial"/>
          <w:sz w:val="20"/>
          <w:szCs w:val="20"/>
        </w:rPr>
      </w:pPr>
    </w:p>
    <w:p w14:paraId="2C549784" w14:textId="7B7B8D57" w:rsidR="004226CC" w:rsidRDefault="004226CC">
      <w:pPr>
        <w:rPr>
          <w:rFonts w:ascii="Arial" w:eastAsia="Times New Roman" w:hAnsi="Arial" w:cs="Arial"/>
          <w:sz w:val="20"/>
          <w:szCs w:val="20"/>
        </w:rPr>
      </w:pPr>
      <w:r>
        <w:rPr>
          <w:rFonts w:ascii="Arial" w:eastAsia="Times New Roman" w:hAnsi="Arial" w:cs="Arial"/>
          <w:sz w:val="20"/>
          <w:szCs w:val="20"/>
        </w:rPr>
        <w:br w:type="page"/>
      </w:r>
    </w:p>
    <w:p w14:paraId="4DEA303A" w14:textId="77777777" w:rsidR="00B913AE" w:rsidRPr="00893B5C" w:rsidRDefault="00B913AE" w:rsidP="00797372">
      <w:pPr>
        <w:rPr>
          <w:rFonts w:ascii="Arial" w:eastAsia="Times New Roman" w:hAnsi="Arial" w:cs="Arial"/>
          <w:sz w:val="20"/>
          <w:szCs w:val="20"/>
        </w:rPr>
      </w:pPr>
    </w:p>
    <w:p w14:paraId="44456018" w14:textId="77777777" w:rsidR="00797372" w:rsidRPr="00893B5C" w:rsidRDefault="00797372" w:rsidP="00797372">
      <w:pPr>
        <w:rPr>
          <w:rFonts w:ascii="Arial" w:eastAsia="Times New Roman" w:hAnsi="Arial" w:cs="Arial"/>
          <w:sz w:val="20"/>
          <w:szCs w:val="20"/>
        </w:rPr>
      </w:pPr>
      <w:r w:rsidRPr="00893B5C">
        <w:rPr>
          <w:rFonts w:ascii="Arial" w:eastAsia="Times New Roman" w:hAnsi="Arial" w:cs="Arial"/>
          <w:b/>
          <w:sz w:val="20"/>
          <w:szCs w:val="20"/>
        </w:rPr>
        <w:t>Acknowledgements</w:t>
      </w:r>
    </w:p>
    <w:p w14:paraId="34845AF3" w14:textId="77777777" w:rsidR="00501D3F" w:rsidRPr="00FE5A72" w:rsidRDefault="00024DE0" w:rsidP="000230E1">
      <w:pPr>
        <w:pStyle w:val="Footer"/>
        <w:jc w:val="both"/>
        <w:rPr>
          <w:rFonts w:ascii="Arial" w:hAnsi="Arial" w:cs="Arial"/>
          <w:sz w:val="20"/>
          <w:szCs w:val="20"/>
        </w:rPr>
      </w:pPr>
      <w:r w:rsidRPr="00893B5C">
        <w:rPr>
          <w:rFonts w:ascii="Arial" w:hAnsi="Arial" w:cs="Arial"/>
          <w:b/>
          <w:sz w:val="20"/>
          <w:szCs w:val="20"/>
          <w:lang w:val="en-US"/>
        </w:rPr>
        <w:fldChar w:fldCharType="begin"/>
      </w:r>
      <w:r w:rsidR="00797372" w:rsidRPr="00893B5C">
        <w:rPr>
          <w:rFonts w:ascii="Arial" w:hAnsi="Arial" w:cs="Arial"/>
          <w:b/>
          <w:sz w:val="20"/>
          <w:szCs w:val="20"/>
        </w:rPr>
        <w:instrText xml:space="preserve"> AUTOTEXT  " Blank"  \* MERGEFORMAT </w:instrText>
      </w:r>
      <w:r w:rsidRPr="00893B5C">
        <w:rPr>
          <w:rFonts w:ascii="Arial" w:hAnsi="Arial" w:cs="Arial"/>
          <w:b/>
          <w:sz w:val="20"/>
          <w:szCs w:val="20"/>
          <w:lang w:val="en-US"/>
        </w:rPr>
        <w:fldChar w:fldCharType="separate"/>
      </w:r>
      <w:r w:rsidR="00501D3F" w:rsidRPr="00FE5A72">
        <w:rPr>
          <w:rFonts w:ascii="Arial" w:hAnsi="Arial" w:cs="Arial"/>
          <w:sz w:val="20"/>
          <w:szCs w:val="20"/>
        </w:rPr>
        <w:t>The authors would like to thank the following organisations for their contributions to this paper:</w:t>
      </w:r>
    </w:p>
    <w:p w14:paraId="54A1FB23" w14:textId="77777777" w:rsidR="00501D3F" w:rsidRPr="00FE5A72" w:rsidRDefault="00501D3F" w:rsidP="00501D3F">
      <w:pPr>
        <w:pStyle w:val="Footer"/>
        <w:numPr>
          <w:ilvl w:val="0"/>
          <w:numId w:val="17"/>
        </w:numPr>
        <w:rPr>
          <w:rFonts w:ascii="Arial" w:hAnsi="Arial" w:cs="Arial"/>
          <w:sz w:val="20"/>
          <w:szCs w:val="20"/>
        </w:rPr>
      </w:pPr>
      <w:r w:rsidRPr="00FE5A72">
        <w:rPr>
          <w:rFonts w:ascii="Arial" w:hAnsi="Arial" w:cs="Arial"/>
          <w:sz w:val="20"/>
          <w:szCs w:val="20"/>
        </w:rPr>
        <w:t>Mazars</w:t>
      </w:r>
    </w:p>
    <w:p w14:paraId="652C45E7" w14:textId="77777777" w:rsidR="00501D3F" w:rsidRPr="00FE5A72" w:rsidRDefault="00501D3F" w:rsidP="00501D3F">
      <w:pPr>
        <w:pStyle w:val="Footer"/>
        <w:numPr>
          <w:ilvl w:val="0"/>
          <w:numId w:val="17"/>
        </w:numPr>
        <w:rPr>
          <w:rFonts w:ascii="Arial" w:hAnsi="Arial" w:cs="Arial"/>
          <w:sz w:val="20"/>
          <w:szCs w:val="20"/>
        </w:rPr>
      </w:pPr>
      <w:r w:rsidRPr="00FE5A72">
        <w:rPr>
          <w:rFonts w:ascii="Arial" w:hAnsi="Arial" w:cs="Arial"/>
          <w:sz w:val="20"/>
          <w:szCs w:val="20"/>
        </w:rPr>
        <w:t>Wesleyan</w:t>
      </w:r>
    </w:p>
    <w:p w14:paraId="6E82A71A" w14:textId="77777777" w:rsidR="00501D3F" w:rsidRPr="00FE5A72" w:rsidRDefault="00501D3F" w:rsidP="00501D3F">
      <w:pPr>
        <w:pStyle w:val="Footer"/>
        <w:numPr>
          <w:ilvl w:val="0"/>
          <w:numId w:val="17"/>
        </w:numPr>
        <w:rPr>
          <w:rFonts w:ascii="Arial" w:hAnsi="Arial" w:cs="Arial"/>
          <w:sz w:val="20"/>
          <w:szCs w:val="20"/>
        </w:rPr>
      </w:pPr>
      <w:proofErr w:type="spellStart"/>
      <w:r w:rsidRPr="00FE5A72">
        <w:rPr>
          <w:rFonts w:ascii="Arial" w:hAnsi="Arial" w:cs="Arial"/>
          <w:sz w:val="20"/>
          <w:szCs w:val="20"/>
        </w:rPr>
        <w:t>ReAssure</w:t>
      </w:r>
      <w:proofErr w:type="spellEnd"/>
    </w:p>
    <w:p w14:paraId="255177C6" w14:textId="77777777" w:rsidR="00501D3F" w:rsidRPr="00FE5A72" w:rsidRDefault="00501D3F" w:rsidP="00501D3F">
      <w:pPr>
        <w:pStyle w:val="Footer"/>
        <w:numPr>
          <w:ilvl w:val="0"/>
          <w:numId w:val="17"/>
        </w:numPr>
        <w:rPr>
          <w:rFonts w:ascii="Arial" w:hAnsi="Arial" w:cs="Arial"/>
          <w:sz w:val="20"/>
          <w:szCs w:val="20"/>
        </w:rPr>
      </w:pPr>
      <w:r w:rsidRPr="00FE5A72">
        <w:rPr>
          <w:rFonts w:ascii="Arial" w:hAnsi="Arial" w:cs="Arial"/>
          <w:sz w:val="20"/>
          <w:szCs w:val="20"/>
        </w:rPr>
        <w:t>Standard Life</w:t>
      </w:r>
    </w:p>
    <w:p w14:paraId="416CACFD" w14:textId="77777777" w:rsidR="00501D3F" w:rsidRPr="00FE5A72" w:rsidRDefault="00501D3F" w:rsidP="00501D3F">
      <w:pPr>
        <w:pStyle w:val="Footer"/>
        <w:numPr>
          <w:ilvl w:val="0"/>
          <w:numId w:val="17"/>
        </w:numPr>
        <w:rPr>
          <w:rFonts w:ascii="Arial" w:hAnsi="Arial" w:cs="Arial"/>
          <w:sz w:val="20"/>
          <w:szCs w:val="20"/>
        </w:rPr>
      </w:pPr>
      <w:r w:rsidRPr="00FE5A72">
        <w:rPr>
          <w:rFonts w:ascii="Arial" w:hAnsi="Arial" w:cs="Arial"/>
          <w:sz w:val="20"/>
          <w:szCs w:val="20"/>
        </w:rPr>
        <w:t>NFU Mutual</w:t>
      </w:r>
    </w:p>
    <w:p w14:paraId="01353962" w14:textId="77777777" w:rsidR="00501D3F" w:rsidRPr="00FE5A72" w:rsidRDefault="00501D3F" w:rsidP="00501D3F">
      <w:pPr>
        <w:pStyle w:val="Footer"/>
        <w:numPr>
          <w:ilvl w:val="0"/>
          <w:numId w:val="17"/>
        </w:numPr>
        <w:rPr>
          <w:rFonts w:ascii="Arial" w:hAnsi="Arial" w:cs="Arial"/>
          <w:sz w:val="20"/>
          <w:szCs w:val="20"/>
        </w:rPr>
      </w:pPr>
      <w:r w:rsidRPr="00FE5A72">
        <w:rPr>
          <w:rFonts w:ascii="Arial" w:hAnsi="Arial" w:cs="Arial"/>
          <w:sz w:val="20"/>
          <w:szCs w:val="20"/>
        </w:rPr>
        <w:t>Sun Life Financial of Canada</w:t>
      </w:r>
    </w:p>
    <w:p w14:paraId="71E72569" w14:textId="77777777" w:rsidR="00501D3F" w:rsidRPr="00FE5A72" w:rsidRDefault="00501D3F" w:rsidP="00501D3F">
      <w:pPr>
        <w:pStyle w:val="Footer"/>
        <w:numPr>
          <w:ilvl w:val="0"/>
          <w:numId w:val="17"/>
        </w:numPr>
        <w:rPr>
          <w:rFonts w:ascii="Arial" w:hAnsi="Arial" w:cs="Arial"/>
          <w:sz w:val="20"/>
          <w:szCs w:val="20"/>
        </w:rPr>
      </w:pPr>
      <w:r w:rsidRPr="00FE5A72">
        <w:rPr>
          <w:rFonts w:ascii="Arial" w:hAnsi="Arial" w:cs="Arial"/>
          <w:sz w:val="20"/>
          <w:szCs w:val="20"/>
        </w:rPr>
        <w:t>Aviva</w:t>
      </w:r>
    </w:p>
    <w:p w14:paraId="4B9331EB" w14:textId="77777777" w:rsidR="00501D3F" w:rsidRPr="00FE5A72" w:rsidRDefault="00501D3F" w:rsidP="00501D3F">
      <w:pPr>
        <w:pStyle w:val="Footer"/>
        <w:numPr>
          <w:ilvl w:val="0"/>
          <w:numId w:val="17"/>
        </w:numPr>
        <w:rPr>
          <w:rFonts w:ascii="Arial" w:hAnsi="Arial" w:cs="Arial"/>
          <w:sz w:val="20"/>
          <w:szCs w:val="20"/>
        </w:rPr>
      </w:pPr>
      <w:r w:rsidRPr="00FE5A72">
        <w:rPr>
          <w:rFonts w:ascii="Arial" w:hAnsi="Arial" w:cs="Arial"/>
          <w:sz w:val="20"/>
          <w:szCs w:val="20"/>
        </w:rPr>
        <w:t>LV=</w:t>
      </w:r>
    </w:p>
    <w:p w14:paraId="68EEE4A7" w14:textId="77777777" w:rsidR="00501D3F" w:rsidRPr="00FE5A72" w:rsidRDefault="00501D3F" w:rsidP="00501D3F">
      <w:pPr>
        <w:pStyle w:val="Footer"/>
        <w:numPr>
          <w:ilvl w:val="0"/>
          <w:numId w:val="17"/>
        </w:numPr>
        <w:rPr>
          <w:rFonts w:ascii="Arial" w:hAnsi="Arial" w:cs="Arial"/>
          <w:sz w:val="20"/>
          <w:szCs w:val="20"/>
        </w:rPr>
      </w:pPr>
      <w:r w:rsidRPr="00FE5A72">
        <w:rPr>
          <w:rFonts w:ascii="Arial" w:hAnsi="Arial" w:cs="Arial"/>
          <w:sz w:val="20"/>
          <w:szCs w:val="20"/>
        </w:rPr>
        <w:t>Equitable Life</w:t>
      </w:r>
    </w:p>
    <w:p w14:paraId="2FC6C42B" w14:textId="77777777" w:rsidR="00501D3F" w:rsidRPr="00FE5A72" w:rsidRDefault="00501D3F" w:rsidP="00501D3F">
      <w:pPr>
        <w:pStyle w:val="Footer"/>
        <w:numPr>
          <w:ilvl w:val="0"/>
          <w:numId w:val="17"/>
        </w:numPr>
        <w:rPr>
          <w:rFonts w:ascii="Arial" w:hAnsi="Arial" w:cs="Arial"/>
          <w:sz w:val="20"/>
          <w:szCs w:val="20"/>
        </w:rPr>
      </w:pPr>
      <w:r w:rsidRPr="00FE5A72">
        <w:rPr>
          <w:rFonts w:ascii="Arial" w:hAnsi="Arial" w:cs="Arial"/>
          <w:sz w:val="20"/>
          <w:szCs w:val="20"/>
        </w:rPr>
        <w:t>KPMG</w:t>
      </w:r>
    </w:p>
    <w:p w14:paraId="776075DE" w14:textId="77777777" w:rsidR="00501D3F" w:rsidRPr="00FE5A72" w:rsidRDefault="00501D3F" w:rsidP="00501D3F">
      <w:pPr>
        <w:pStyle w:val="Footer"/>
        <w:numPr>
          <w:ilvl w:val="0"/>
          <w:numId w:val="17"/>
        </w:numPr>
        <w:rPr>
          <w:rFonts w:ascii="Arial" w:hAnsi="Arial" w:cs="Arial"/>
          <w:sz w:val="20"/>
          <w:szCs w:val="20"/>
        </w:rPr>
      </w:pPr>
      <w:r w:rsidRPr="00FE5A72">
        <w:rPr>
          <w:rFonts w:ascii="Arial" w:hAnsi="Arial" w:cs="Arial"/>
          <w:sz w:val="20"/>
          <w:szCs w:val="20"/>
        </w:rPr>
        <w:t>Healthy Investment</w:t>
      </w:r>
    </w:p>
    <w:p w14:paraId="4A96B418" w14:textId="77777777" w:rsidR="00501D3F" w:rsidRPr="00FE5A72" w:rsidRDefault="00501D3F" w:rsidP="00501D3F">
      <w:pPr>
        <w:pStyle w:val="Footer"/>
        <w:numPr>
          <w:ilvl w:val="0"/>
          <w:numId w:val="17"/>
        </w:numPr>
        <w:rPr>
          <w:rFonts w:ascii="Arial" w:hAnsi="Arial" w:cs="Arial"/>
          <w:sz w:val="20"/>
          <w:szCs w:val="20"/>
        </w:rPr>
      </w:pPr>
      <w:r w:rsidRPr="00FE5A72">
        <w:rPr>
          <w:rFonts w:ascii="Arial" w:hAnsi="Arial" w:cs="Arial"/>
          <w:sz w:val="20"/>
          <w:szCs w:val="20"/>
        </w:rPr>
        <w:t>Kingston Unity</w:t>
      </w:r>
    </w:p>
    <w:p w14:paraId="1287CCAC" w14:textId="77777777" w:rsidR="00501D3F" w:rsidRPr="00FE5A72" w:rsidRDefault="00501D3F" w:rsidP="00501D3F">
      <w:pPr>
        <w:pStyle w:val="Footer"/>
        <w:numPr>
          <w:ilvl w:val="0"/>
          <w:numId w:val="17"/>
        </w:numPr>
        <w:rPr>
          <w:rFonts w:ascii="Arial" w:hAnsi="Arial" w:cs="Arial"/>
          <w:sz w:val="20"/>
          <w:szCs w:val="20"/>
        </w:rPr>
      </w:pPr>
      <w:r w:rsidRPr="00FE5A72">
        <w:rPr>
          <w:rFonts w:ascii="Arial" w:hAnsi="Arial" w:cs="Arial"/>
          <w:sz w:val="20"/>
          <w:szCs w:val="20"/>
        </w:rPr>
        <w:t>Royal London</w:t>
      </w:r>
    </w:p>
    <w:p w14:paraId="7EC38EB0" w14:textId="77777777" w:rsidR="00501D3F" w:rsidRPr="00FE5A72" w:rsidRDefault="00501D3F" w:rsidP="00501D3F">
      <w:pPr>
        <w:pStyle w:val="Footer"/>
        <w:numPr>
          <w:ilvl w:val="0"/>
          <w:numId w:val="17"/>
        </w:numPr>
        <w:rPr>
          <w:rFonts w:ascii="Arial" w:hAnsi="Arial" w:cs="Arial"/>
          <w:sz w:val="20"/>
          <w:szCs w:val="20"/>
        </w:rPr>
      </w:pPr>
      <w:r w:rsidRPr="00FE5A72">
        <w:rPr>
          <w:rFonts w:ascii="Arial" w:hAnsi="Arial" w:cs="Arial"/>
          <w:sz w:val="20"/>
          <w:szCs w:val="20"/>
        </w:rPr>
        <w:t>AEGON</w:t>
      </w:r>
    </w:p>
    <w:p w14:paraId="2F45FC96" w14:textId="77777777" w:rsidR="00501D3F" w:rsidRPr="00FE5A72" w:rsidRDefault="00501D3F" w:rsidP="00501D3F">
      <w:pPr>
        <w:pStyle w:val="Footer"/>
        <w:numPr>
          <w:ilvl w:val="0"/>
          <w:numId w:val="17"/>
        </w:numPr>
        <w:rPr>
          <w:rFonts w:ascii="Arial" w:hAnsi="Arial" w:cs="Arial"/>
          <w:sz w:val="20"/>
          <w:szCs w:val="20"/>
        </w:rPr>
      </w:pPr>
      <w:r w:rsidRPr="00FE5A72">
        <w:rPr>
          <w:rFonts w:ascii="Arial" w:hAnsi="Arial" w:cs="Arial"/>
          <w:sz w:val="20"/>
          <w:szCs w:val="20"/>
        </w:rPr>
        <w:t>Phoenix Life</w:t>
      </w:r>
    </w:p>
    <w:p w14:paraId="2AF7C9B4" w14:textId="77777777" w:rsidR="00501D3F" w:rsidRPr="00FE5A72" w:rsidRDefault="00501D3F" w:rsidP="00501D3F">
      <w:pPr>
        <w:pStyle w:val="Footer"/>
        <w:numPr>
          <w:ilvl w:val="0"/>
          <w:numId w:val="17"/>
        </w:numPr>
        <w:rPr>
          <w:rFonts w:ascii="Arial" w:hAnsi="Arial" w:cs="Arial"/>
          <w:sz w:val="20"/>
          <w:szCs w:val="20"/>
        </w:rPr>
      </w:pPr>
      <w:r w:rsidRPr="00FE5A72">
        <w:rPr>
          <w:rFonts w:ascii="Arial" w:hAnsi="Arial" w:cs="Arial"/>
          <w:sz w:val="20"/>
          <w:szCs w:val="20"/>
        </w:rPr>
        <w:t>Legal &amp; General</w:t>
      </w:r>
    </w:p>
    <w:p w14:paraId="7F01D59B" w14:textId="77777777" w:rsidR="00501D3F" w:rsidRPr="00FE5A72" w:rsidRDefault="00501D3F" w:rsidP="00501D3F">
      <w:pPr>
        <w:pStyle w:val="Footer"/>
        <w:numPr>
          <w:ilvl w:val="0"/>
          <w:numId w:val="17"/>
        </w:numPr>
        <w:rPr>
          <w:rFonts w:ascii="Arial" w:hAnsi="Arial" w:cs="Arial"/>
          <w:sz w:val="20"/>
          <w:szCs w:val="20"/>
        </w:rPr>
      </w:pPr>
      <w:r w:rsidRPr="00FE5A72">
        <w:rPr>
          <w:rFonts w:ascii="Arial" w:hAnsi="Arial" w:cs="Arial"/>
          <w:sz w:val="20"/>
          <w:szCs w:val="20"/>
        </w:rPr>
        <w:t>Scottish Widows</w:t>
      </w:r>
    </w:p>
    <w:p w14:paraId="046C85A3" w14:textId="77777777" w:rsidR="00501D3F" w:rsidRPr="00FE5A72" w:rsidRDefault="00501D3F" w:rsidP="00501D3F">
      <w:pPr>
        <w:pStyle w:val="Footer"/>
        <w:numPr>
          <w:ilvl w:val="0"/>
          <w:numId w:val="17"/>
        </w:numPr>
        <w:rPr>
          <w:rFonts w:ascii="Arial" w:hAnsi="Arial" w:cs="Arial"/>
          <w:sz w:val="20"/>
          <w:szCs w:val="20"/>
        </w:rPr>
      </w:pPr>
      <w:r w:rsidRPr="00FE5A72">
        <w:rPr>
          <w:rFonts w:ascii="Arial" w:hAnsi="Arial" w:cs="Arial"/>
          <w:sz w:val="20"/>
          <w:szCs w:val="20"/>
        </w:rPr>
        <w:t>ABI</w:t>
      </w:r>
    </w:p>
    <w:p w14:paraId="524F6819" w14:textId="77777777" w:rsidR="00501D3F" w:rsidRPr="00FE5A72" w:rsidRDefault="00501D3F" w:rsidP="00501D3F">
      <w:pPr>
        <w:pStyle w:val="Footer"/>
        <w:numPr>
          <w:ilvl w:val="0"/>
          <w:numId w:val="17"/>
        </w:numPr>
        <w:rPr>
          <w:rFonts w:ascii="Arial" w:hAnsi="Arial" w:cs="Arial"/>
          <w:sz w:val="20"/>
          <w:szCs w:val="20"/>
        </w:rPr>
      </w:pPr>
      <w:r w:rsidRPr="00FE5A72">
        <w:rPr>
          <w:rFonts w:ascii="Arial" w:hAnsi="Arial" w:cs="Arial"/>
          <w:sz w:val="20"/>
          <w:szCs w:val="20"/>
        </w:rPr>
        <w:t>MAS</w:t>
      </w:r>
    </w:p>
    <w:p w14:paraId="4B597587" w14:textId="77777777" w:rsidR="00797372" w:rsidRPr="00893B5C" w:rsidRDefault="00797372" w:rsidP="00501D3F">
      <w:pPr>
        <w:pStyle w:val="Footer"/>
        <w:rPr>
          <w:rFonts w:ascii="Arial" w:hAnsi="Arial" w:cs="Arial"/>
          <w:sz w:val="20"/>
          <w:szCs w:val="20"/>
        </w:rPr>
      </w:pPr>
    </w:p>
    <w:p w14:paraId="41FE8BD8" w14:textId="77777777" w:rsidR="00797372" w:rsidRPr="00893B5C" w:rsidRDefault="00024DE0" w:rsidP="00797372">
      <w:pPr>
        <w:pStyle w:val="Footer"/>
        <w:rPr>
          <w:rFonts w:ascii="Arial" w:hAnsi="Arial" w:cs="Arial"/>
          <w:b/>
          <w:sz w:val="20"/>
          <w:szCs w:val="20"/>
        </w:rPr>
      </w:pPr>
      <w:r w:rsidRPr="00893B5C">
        <w:rPr>
          <w:rFonts w:ascii="Arial" w:hAnsi="Arial" w:cs="Arial"/>
          <w:b/>
          <w:sz w:val="20"/>
          <w:szCs w:val="20"/>
        </w:rPr>
        <w:fldChar w:fldCharType="end"/>
      </w:r>
      <w:r w:rsidR="00797372" w:rsidRPr="00893B5C">
        <w:rPr>
          <w:rFonts w:ascii="Arial" w:hAnsi="Arial" w:cs="Arial"/>
          <w:b/>
          <w:sz w:val="20"/>
          <w:szCs w:val="20"/>
        </w:rPr>
        <w:t xml:space="preserve"> </w:t>
      </w:r>
    </w:p>
    <w:p w14:paraId="5D47A21A" w14:textId="77777777" w:rsidR="00742262" w:rsidRPr="00893B5C" w:rsidRDefault="00742262" w:rsidP="00797372">
      <w:pPr>
        <w:pStyle w:val="Footer"/>
        <w:rPr>
          <w:rFonts w:ascii="Arial" w:hAnsi="Arial" w:cs="Arial"/>
          <w:b/>
          <w:sz w:val="20"/>
          <w:szCs w:val="20"/>
        </w:rPr>
      </w:pPr>
    </w:p>
    <w:p w14:paraId="2022A7F9" w14:textId="77777777" w:rsidR="00797372" w:rsidRPr="00893B5C" w:rsidRDefault="00797372" w:rsidP="00797372">
      <w:pPr>
        <w:pStyle w:val="Footer"/>
        <w:rPr>
          <w:rFonts w:ascii="Arial" w:hAnsi="Arial" w:cs="Arial"/>
          <w:b/>
          <w:sz w:val="20"/>
          <w:szCs w:val="20"/>
        </w:rPr>
      </w:pPr>
      <w:r w:rsidRPr="00893B5C">
        <w:rPr>
          <w:rFonts w:ascii="Arial" w:hAnsi="Arial" w:cs="Arial"/>
          <w:b/>
          <w:sz w:val="20"/>
          <w:szCs w:val="20"/>
        </w:rPr>
        <w:t xml:space="preserve">References </w:t>
      </w:r>
    </w:p>
    <w:p w14:paraId="6C92BDD7" w14:textId="77777777" w:rsidR="00742262" w:rsidRPr="00893B5C" w:rsidRDefault="00742262" w:rsidP="00797372">
      <w:pPr>
        <w:pStyle w:val="Footer"/>
        <w:rPr>
          <w:rFonts w:ascii="Arial" w:hAnsi="Arial" w:cs="Arial"/>
          <w:sz w:val="20"/>
          <w:szCs w:val="20"/>
        </w:rPr>
      </w:pPr>
    </w:p>
    <w:sdt>
      <w:sdtPr>
        <w:rPr>
          <w:rFonts w:ascii="Arial" w:hAnsi="Arial" w:cs="Arial"/>
          <w:sz w:val="20"/>
          <w:szCs w:val="20"/>
        </w:rPr>
        <w:id w:val="2144916540"/>
        <w:placeholder>
          <w:docPart w:val="9DCC4610B2C44AB6959CFEF949F9A71A"/>
        </w:placeholder>
      </w:sdtPr>
      <w:sdtEndPr>
        <w:rPr>
          <w:i/>
        </w:rPr>
      </w:sdtEndPr>
      <w:sdtContent>
        <w:p w14:paraId="5489DEC2" w14:textId="3DBFABA6" w:rsidR="0028552B" w:rsidRPr="000230E1" w:rsidRDefault="0028552B" w:rsidP="000230E1">
          <w:pPr>
            <w:ind w:left="2160" w:hanging="2160"/>
            <w:jc w:val="both"/>
            <w:rPr>
              <w:rFonts w:ascii="Arial" w:hAnsi="Arial" w:cs="Arial"/>
              <w:sz w:val="20"/>
              <w:szCs w:val="20"/>
            </w:rPr>
          </w:pPr>
          <w:r w:rsidRPr="000230E1">
            <w:rPr>
              <w:rFonts w:ascii="Arial" w:hAnsi="Arial" w:cs="Arial"/>
              <w:sz w:val="20"/>
              <w:szCs w:val="20"/>
            </w:rPr>
            <w:t>Institute and Faculty of Actuaries (20</w:t>
          </w:r>
          <w:r w:rsidR="004226CC">
            <w:rPr>
              <w:rFonts w:ascii="Arial" w:hAnsi="Arial" w:cs="Arial"/>
              <w:sz w:val="20"/>
              <w:szCs w:val="20"/>
            </w:rPr>
            <w:t xml:space="preserve">16, </w:t>
          </w:r>
          <w:r w:rsidRPr="000230E1">
            <w:rPr>
              <w:rFonts w:ascii="Arial" w:hAnsi="Arial" w:cs="Arial"/>
              <w:sz w:val="20"/>
              <w:szCs w:val="20"/>
            </w:rPr>
            <w:t>20</w:t>
          </w:r>
          <w:r w:rsidR="004226CC">
            <w:rPr>
              <w:rFonts w:ascii="Arial" w:hAnsi="Arial" w:cs="Arial"/>
              <w:sz w:val="20"/>
              <w:szCs w:val="20"/>
            </w:rPr>
            <w:t>17</w:t>
          </w:r>
          <w:r w:rsidRPr="000230E1">
            <w:rPr>
              <w:rFonts w:ascii="Arial" w:hAnsi="Arial" w:cs="Arial"/>
              <w:sz w:val="20"/>
              <w:szCs w:val="20"/>
            </w:rPr>
            <w:t xml:space="preserve">). </w:t>
          </w:r>
          <w:r w:rsidRPr="000230E1">
            <w:rPr>
              <w:rFonts w:ascii="Arial" w:hAnsi="Arial" w:cs="Arial"/>
              <w:i/>
              <w:sz w:val="20"/>
              <w:szCs w:val="20"/>
            </w:rPr>
            <w:t>Life Conference and Exhibition</w:t>
          </w:r>
          <w:r w:rsidRPr="000230E1">
            <w:rPr>
              <w:rFonts w:ascii="Arial" w:hAnsi="Arial" w:cs="Arial"/>
              <w:sz w:val="20"/>
              <w:szCs w:val="20"/>
            </w:rPr>
            <w:t xml:space="preserve"> </w:t>
          </w:r>
        </w:p>
        <w:p w14:paraId="4833A9D8" w14:textId="77777777" w:rsidR="0028552B" w:rsidRPr="000230E1" w:rsidRDefault="0028552B" w:rsidP="000230E1">
          <w:pPr>
            <w:jc w:val="both"/>
            <w:rPr>
              <w:rFonts w:ascii="Arial" w:hAnsi="Arial" w:cs="Arial"/>
              <w:sz w:val="20"/>
              <w:szCs w:val="20"/>
              <w:lang w:val="fr-CA"/>
            </w:rPr>
          </w:pPr>
          <w:r w:rsidRPr="000230E1">
            <w:rPr>
              <w:rFonts w:ascii="Arial" w:hAnsi="Arial" w:cs="Arial"/>
              <w:sz w:val="20"/>
              <w:szCs w:val="20"/>
            </w:rPr>
            <w:t xml:space="preserve">Money Advice Service (2016). </w:t>
          </w:r>
          <w:r w:rsidRPr="000230E1">
            <w:rPr>
              <w:rFonts w:ascii="Arial" w:hAnsi="Arial" w:cs="Arial"/>
              <w:i/>
              <w:sz w:val="20"/>
              <w:szCs w:val="20"/>
              <w:lang w:val="fr-CA"/>
            </w:rPr>
            <w:t xml:space="preserve">Retirement </w:t>
          </w:r>
          <w:proofErr w:type="spellStart"/>
          <w:r w:rsidRPr="000230E1">
            <w:rPr>
              <w:rFonts w:ascii="Arial" w:hAnsi="Arial" w:cs="Arial"/>
              <w:i/>
              <w:sz w:val="20"/>
              <w:szCs w:val="20"/>
              <w:lang w:val="fr-CA"/>
            </w:rPr>
            <w:t>Language</w:t>
          </w:r>
          <w:bookmarkStart w:id="3" w:name="_GoBack"/>
          <w:bookmarkEnd w:id="3"/>
          <w:proofErr w:type="spellEnd"/>
        </w:p>
        <w:p w14:paraId="0107967E" w14:textId="77777777" w:rsidR="00762063" w:rsidRPr="000230E1" w:rsidRDefault="00D76473" w:rsidP="000230E1">
          <w:pPr>
            <w:ind w:left="2160" w:hanging="2160"/>
            <w:jc w:val="both"/>
            <w:rPr>
              <w:rFonts w:ascii="Arial" w:hAnsi="Arial" w:cs="Arial"/>
              <w:sz w:val="20"/>
              <w:szCs w:val="20"/>
            </w:rPr>
          </w:pPr>
          <w:r w:rsidRPr="000230E1">
            <w:rPr>
              <w:rFonts w:ascii="Arial" w:hAnsi="Arial" w:cs="Arial"/>
              <w:sz w:val="20"/>
              <w:szCs w:val="20"/>
              <w:lang w:val="fr-CA"/>
            </w:rPr>
            <w:t xml:space="preserve">O’Brien, C.D (2011). </w:t>
          </w:r>
          <w:r w:rsidR="00762063" w:rsidRPr="000230E1">
            <w:rPr>
              <w:rFonts w:ascii="Arial" w:hAnsi="Arial" w:cs="Arial"/>
              <w:i/>
              <w:sz w:val="20"/>
              <w:szCs w:val="20"/>
            </w:rPr>
            <w:t xml:space="preserve">Equity between with-profits policyholders and shareholders </w:t>
          </w:r>
        </w:p>
        <w:p w14:paraId="1B251D24" w14:textId="77777777" w:rsidR="0028552B" w:rsidRPr="000230E1" w:rsidRDefault="0028552B" w:rsidP="000230E1">
          <w:pPr>
            <w:ind w:left="2160" w:hanging="2160"/>
            <w:jc w:val="both"/>
            <w:rPr>
              <w:rFonts w:ascii="Arial" w:hAnsi="Arial" w:cs="Arial"/>
              <w:sz w:val="20"/>
              <w:szCs w:val="20"/>
            </w:rPr>
          </w:pPr>
          <w:proofErr w:type="spellStart"/>
          <w:r w:rsidRPr="000230E1">
            <w:rPr>
              <w:rFonts w:ascii="Arial" w:hAnsi="Arial" w:cs="Arial"/>
              <w:sz w:val="20"/>
              <w:szCs w:val="20"/>
            </w:rPr>
            <w:t>Spottiswoode</w:t>
          </w:r>
          <w:proofErr w:type="spellEnd"/>
          <w:r w:rsidRPr="000230E1">
            <w:rPr>
              <w:rFonts w:ascii="Arial" w:hAnsi="Arial" w:cs="Arial"/>
              <w:sz w:val="20"/>
              <w:szCs w:val="20"/>
            </w:rPr>
            <w:t xml:space="preserve">, C (2009). </w:t>
          </w:r>
          <w:r w:rsidRPr="000230E1">
            <w:rPr>
              <w:rFonts w:ascii="Arial" w:hAnsi="Arial" w:cs="Arial"/>
              <w:i/>
              <w:sz w:val="20"/>
              <w:szCs w:val="20"/>
            </w:rPr>
            <w:t xml:space="preserve">The Policyholder Advocate's Report: A Report by the Office of the Policyholder Advocate in Connection the </w:t>
          </w:r>
          <w:proofErr w:type="spellStart"/>
          <w:r w:rsidRPr="000230E1">
            <w:rPr>
              <w:rFonts w:ascii="Arial" w:hAnsi="Arial" w:cs="Arial"/>
              <w:i/>
              <w:sz w:val="20"/>
              <w:szCs w:val="20"/>
            </w:rPr>
            <w:t>the</w:t>
          </w:r>
          <w:proofErr w:type="spellEnd"/>
          <w:r w:rsidRPr="000230E1">
            <w:rPr>
              <w:rFonts w:ascii="Arial" w:hAnsi="Arial" w:cs="Arial"/>
              <w:i/>
              <w:sz w:val="20"/>
              <w:szCs w:val="20"/>
            </w:rPr>
            <w:t xml:space="preserve"> Reattribution of the Inherited Estates of the CHNU Life and CULAC With-profits Funds.</w:t>
          </w:r>
          <w:r w:rsidRPr="000230E1">
            <w:rPr>
              <w:rFonts w:ascii="Arial" w:hAnsi="Arial" w:cs="Arial"/>
              <w:sz w:val="20"/>
              <w:szCs w:val="20"/>
            </w:rPr>
            <w:t xml:space="preserve"> </w:t>
          </w:r>
        </w:p>
        <w:p w14:paraId="79DBBED9" w14:textId="77777777" w:rsidR="00644FD2" w:rsidRPr="000230E1" w:rsidRDefault="0028552B" w:rsidP="000230E1">
          <w:pPr>
            <w:jc w:val="both"/>
            <w:rPr>
              <w:rFonts w:ascii="Arial" w:hAnsi="Arial" w:cs="Arial"/>
              <w:i/>
              <w:sz w:val="20"/>
              <w:szCs w:val="20"/>
            </w:rPr>
          </w:pPr>
          <w:r w:rsidRPr="000230E1">
            <w:rPr>
              <w:rFonts w:ascii="Arial" w:hAnsi="Arial" w:cs="Arial"/>
              <w:sz w:val="20"/>
              <w:szCs w:val="20"/>
            </w:rPr>
            <w:t xml:space="preserve">thisismoney.co.uk (2016). </w:t>
          </w:r>
          <w:r w:rsidR="00762063" w:rsidRPr="000230E1">
            <w:rPr>
              <w:rFonts w:ascii="Arial" w:hAnsi="Arial" w:cs="Arial"/>
              <w:i/>
              <w:sz w:val="20"/>
              <w:szCs w:val="20"/>
            </w:rPr>
            <w:t>Savers see with-profit</w:t>
          </w:r>
          <w:r w:rsidRPr="000230E1">
            <w:rPr>
              <w:rFonts w:ascii="Arial" w:hAnsi="Arial" w:cs="Arial"/>
              <w:i/>
              <w:sz w:val="20"/>
              <w:szCs w:val="20"/>
            </w:rPr>
            <w:t>s pensions slashed</w:t>
          </w:r>
        </w:p>
        <w:p w14:paraId="7E358F30" w14:textId="77777777" w:rsidR="00644FD2" w:rsidRDefault="00644FD2" w:rsidP="00797372">
          <w:r>
            <w:t xml:space="preserve"> </w:t>
          </w:r>
        </w:p>
        <w:p w14:paraId="67C332E0" w14:textId="77777777" w:rsidR="00797372" w:rsidRPr="00762063" w:rsidRDefault="004A1E62" w:rsidP="00797372"/>
      </w:sdtContent>
    </w:sdt>
    <w:p w14:paraId="09EBD06E" w14:textId="77777777" w:rsidR="00A678FB" w:rsidRDefault="00A678FB" w:rsidP="00797372">
      <w:pPr>
        <w:rPr>
          <w:rFonts w:cs="Arial"/>
          <w:b/>
          <w:szCs w:val="20"/>
        </w:rPr>
      </w:pPr>
    </w:p>
    <w:p w14:paraId="36A7BC84" w14:textId="77777777" w:rsidR="00072E24" w:rsidRDefault="00072E24">
      <w:pPr>
        <w:rPr>
          <w:rFonts w:cs="Arial"/>
          <w:b/>
          <w:szCs w:val="20"/>
        </w:rPr>
      </w:pPr>
    </w:p>
    <w:p w14:paraId="5BF7E267" w14:textId="77777777" w:rsidR="00072E24" w:rsidRDefault="00072E24">
      <w:pPr>
        <w:rPr>
          <w:rFonts w:cs="Arial"/>
          <w:b/>
          <w:szCs w:val="20"/>
        </w:rPr>
      </w:pPr>
      <w:r>
        <w:rPr>
          <w:rFonts w:cs="Arial"/>
          <w:b/>
          <w:szCs w:val="20"/>
        </w:rPr>
        <w:br w:type="page"/>
      </w:r>
    </w:p>
    <w:p w14:paraId="4FB56A13" w14:textId="77777777" w:rsidR="00A678FB" w:rsidRDefault="00A678FB">
      <w:pPr>
        <w:rPr>
          <w:rFonts w:cs="Arial"/>
          <w:b/>
          <w:szCs w:val="20"/>
        </w:rPr>
      </w:pPr>
      <w:r>
        <w:rPr>
          <w:rFonts w:cs="Arial"/>
          <w:b/>
          <w:szCs w:val="20"/>
        </w:rPr>
        <w:lastRenderedPageBreak/>
        <w:br w:type="page"/>
      </w:r>
    </w:p>
    <w:p w14:paraId="7DB340E0" w14:textId="77777777" w:rsidR="00A678FB" w:rsidRDefault="00A678FB" w:rsidP="00797372">
      <w:pPr>
        <w:rPr>
          <w:b/>
          <w:color w:val="FFC000"/>
          <w:spacing w:val="-2"/>
          <w:sz w:val="18"/>
          <w:szCs w:val="18"/>
        </w:rPr>
      </w:pPr>
      <w:r>
        <w:rPr>
          <w:b/>
          <w:noProof/>
          <w:color w:val="FFC000"/>
          <w:spacing w:val="-2"/>
          <w:sz w:val="18"/>
          <w:szCs w:val="18"/>
        </w:rPr>
        <w:lastRenderedPageBreak/>
        <w:drawing>
          <wp:inline distT="0" distB="0" distL="0" distR="0" wp14:anchorId="32D60042" wp14:editId="56D4B74C">
            <wp:extent cx="2543175" cy="10331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FoA_logo_L_RGB compressed.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44595" cy="1033742"/>
                    </a:xfrm>
                    <a:prstGeom prst="rect">
                      <a:avLst/>
                    </a:prstGeom>
                  </pic:spPr>
                </pic:pic>
              </a:graphicData>
            </a:graphic>
          </wp:inline>
        </w:drawing>
      </w:r>
    </w:p>
    <w:p w14:paraId="60CCD9BE" w14:textId="77777777" w:rsidR="00CC40F9" w:rsidRDefault="00CC40F9" w:rsidP="00FB313D">
      <w:pPr>
        <w:pStyle w:val="CityName"/>
        <w:framePr w:hSpace="0" w:wrap="auto" w:vAnchor="margin" w:hAnchor="text" w:xAlign="left" w:yAlign="inline"/>
        <w:rPr>
          <w:color w:val="113458"/>
        </w:rPr>
      </w:pPr>
    </w:p>
    <w:p w14:paraId="2DCA3E58" w14:textId="77777777" w:rsidR="00CC40F9" w:rsidRDefault="00CC40F9" w:rsidP="00FB313D">
      <w:pPr>
        <w:pStyle w:val="CityName"/>
        <w:framePr w:hSpace="0" w:wrap="auto" w:vAnchor="margin" w:hAnchor="text" w:xAlign="left" w:yAlign="inline"/>
        <w:rPr>
          <w:color w:val="113458"/>
        </w:rPr>
      </w:pPr>
    </w:p>
    <w:p w14:paraId="42C67429" w14:textId="77777777" w:rsidR="00CC40F9" w:rsidRDefault="00CC40F9" w:rsidP="00FB313D">
      <w:pPr>
        <w:pStyle w:val="CityName"/>
        <w:framePr w:hSpace="0" w:wrap="auto" w:vAnchor="margin" w:hAnchor="text" w:xAlign="left" w:yAlign="inline"/>
        <w:rPr>
          <w:color w:val="113458"/>
        </w:rPr>
      </w:pPr>
    </w:p>
    <w:p w14:paraId="52631997" w14:textId="77777777" w:rsidR="00CC40F9" w:rsidRDefault="00CC40F9" w:rsidP="00FB313D">
      <w:pPr>
        <w:pStyle w:val="CityName"/>
        <w:framePr w:hSpace="0" w:wrap="auto" w:vAnchor="margin" w:hAnchor="text" w:xAlign="left" w:yAlign="inline"/>
        <w:rPr>
          <w:color w:val="113458"/>
        </w:rPr>
      </w:pPr>
    </w:p>
    <w:p w14:paraId="3ED9A7BF" w14:textId="77777777" w:rsidR="00CC40F9" w:rsidRDefault="00CC40F9" w:rsidP="00FB313D">
      <w:pPr>
        <w:pStyle w:val="CityName"/>
        <w:framePr w:hSpace="0" w:wrap="auto" w:vAnchor="margin" w:hAnchor="text" w:xAlign="left" w:yAlign="inline"/>
        <w:rPr>
          <w:color w:val="113458"/>
        </w:rPr>
      </w:pPr>
    </w:p>
    <w:p w14:paraId="3F0527D3" w14:textId="77777777" w:rsidR="00CC40F9" w:rsidRDefault="00CC40F9" w:rsidP="00FB313D">
      <w:pPr>
        <w:pStyle w:val="CityName"/>
        <w:framePr w:hSpace="0" w:wrap="auto" w:vAnchor="margin" w:hAnchor="text" w:xAlign="left" w:yAlign="inline"/>
        <w:rPr>
          <w:color w:val="113458"/>
        </w:rPr>
      </w:pPr>
    </w:p>
    <w:p w14:paraId="43D59089" w14:textId="77777777" w:rsidR="00CC40F9" w:rsidRDefault="00CC40F9" w:rsidP="00FB313D">
      <w:pPr>
        <w:pStyle w:val="CityName"/>
        <w:framePr w:hSpace="0" w:wrap="auto" w:vAnchor="margin" w:hAnchor="text" w:xAlign="left" w:yAlign="inline"/>
        <w:rPr>
          <w:color w:val="113458"/>
        </w:rPr>
      </w:pPr>
    </w:p>
    <w:p w14:paraId="7316AB29" w14:textId="77777777" w:rsidR="00CC40F9" w:rsidRDefault="00CC40F9" w:rsidP="00FB313D">
      <w:pPr>
        <w:pStyle w:val="CityName"/>
        <w:framePr w:hSpace="0" w:wrap="auto" w:vAnchor="margin" w:hAnchor="text" w:xAlign="left" w:yAlign="inline"/>
        <w:rPr>
          <w:color w:val="113458"/>
        </w:rPr>
      </w:pPr>
    </w:p>
    <w:p w14:paraId="47B14A77" w14:textId="77777777" w:rsidR="00CC40F9" w:rsidRDefault="00CC40F9" w:rsidP="00FB313D">
      <w:pPr>
        <w:pStyle w:val="CityName"/>
        <w:framePr w:hSpace="0" w:wrap="auto" w:vAnchor="margin" w:hAnchor="text" w:xAlign="left" w:yAlign="inline"/>
        <w:rPr>
          <w:color w:val="113458"/>
        </w:rPr>
      </w:pPr>
    </w:p>
    <w:p w14:paraId="778299C2" w14:textId="77777777" w:rsidR="00CC40F9" w:rsidRDefault="00CC40F9" w:rsidP="00FB313D">
      <w:pPr>
        <w:pStyle w:val="CityName"/>
        <w:framePr w:hSpace="0" w:wrap="auto" w:vAnchor="margin" w:hAnchor="text" w:xAlign="left" w:yAlign="inline"/>
        <w:rPr>
          <w:color w:val="113458"/>
        </w:rPr>
      </w:pPr>
    </w:p>
    <w:p w14:paraId="6851A235" w14:textId="77777777" w:rsidR="00CC40F9" w:rsidRDefault="00CC40F9" w:rsidP="00FB313D">
      <w:pPr>
        <w:pStyle w:val="CityName"/>
        <w:framePr w:hSpace="0" w:wrap="auto" w:vAnchor="margin" w:hAnchor="text" w:xAlign="left" w:yAlign="inline"/>
        <w:rPr>
          <w:color w:val="113458"/>
        </w:rPr>
      </w:pPr>
    </w:p>
    <w:p w14:paraId="1EC8B97A" w14:textId="77777777" w:rsidR="00CC40F9" w:rsidRDefault="00CC40F9" w:rsidP="00FB313D">
      <w:pPr>
        <w:pStyle w:val="CityName"/>
        <w:framePr w:hSpace="0" w:wrap="auto" w:vAnchor="margin" w:hAnchor="text" w:xAlign="left" w:yAlign="inline"/>
        <w:rPr>
          <w:color w:val="113458"/>
        </w:rPr>
      </w:pPr>
    </w:p>
    <w:p w14:paraId="15803838" w14:textId="77777777" w:rsidR="00CC40F9" w:rsidRDefault="00CC40F9" w:rsidP="00FB313D">
      <w:pPr>
        <w:pStyle w:val="CityName"/>
        <w:framePr w:hSpace="0" w:wrap="auto" w:vAnchor="margin" w:hAnchor="text" w:xAlign="left" w:yAlign="inline"/>
        <w:rPr>
          <w:color w:val="113458"/>
        </w:rPr>
      </w:pPr>
    </w:p>
    <w:p w14:paraId="72F966FA" w14:textId="77777777" w:rsidR="00CC40F9" w:rsidRDefault="00CC40F9" w:rsidP="00FB313D">
      <w:pPr>
        <w:pStyle w:val="CityName"/>
        <w:framePr w:hSpace="0" w:wrap="auto" w:vAnchor="margin" w:hAnchor="text" w:xAlign="left" w:yAlign="inline"/>
        <w:rPr>
          <w:color w:val="113458"/>
        </w:rPr>
      </w:pPr>
    </w:p>
    <w:p w14:paraId="64F06C38" w14:textId="77777777" w:rsidR="00CC40F9" w:rsidRDefault="00CC40F9" w:rsidP="00FB313D">
      <w:pPr>
        <w:pStyle w:val="CityName"/>
        <w:framePr w:hSpace="0" w:wrap="auto" w:vAnchor="margin" w:hAnchor="text" w:xAlign="left" w:yAlign="inline"/>
        <w:rPr>
          <w:color w:val="113458"/>
        </w:rPr>
      </w:pPr>
    </w:p>
    <w:p w14:paraId="767493A8" w14:textId="77777777" w:rsidR="00FE6F0C" w:rsidRPr="00DF63AB" w:rsidRDefault="00FE6F0C" w:rsidP="00FE6F0C">
      <w:pPr>
        <w:pStyle w:val="CityName"/>
        <w:framePr w:hSpace="0" w:wrap="auto" w:vAnchor="margin" w:hAnchor="text" w:xAlign="left" w:yAlign="inline"/>
        <w:rPr>
          <w:color w:val="113458"/>
        </w:rPr>
      </w:pPr>
      <w:r w:rsidRPr="00DF63AB">
        <w:rPr>
          <w:color w:val="113458"/>
        </w:rPr>
        <w:t>London</w:t>
      </w:r>
    </w:p>
    <w:p w14:paraId="715182C6" w14:textId="77777777" w:rsidR="00FE6F0C" w:rsidRPr="00DF63AB" w:rsidRDefault="00FE6F0C" w:rsidP="00FE6F0C">
      <w:pPr>
        <w:pStyle w:val="CityAddress"/>
        <w:framePr w:hSpace="0" w:wrap="auto" w:vAnchor="margin" w:hAnchor="text" w:xAlign="left" w:yAlign="inline"/>
        <w:rPr>
          <w:color w:val="113458"/>
        </w:rPr>
      </w:pPr>
      <w:r w:rsidRPr="00DF63AB">
        <w:rPr>
          <w:color w:val="113458"/>
        </w:rPr>
        <w:t>7</w:t>
      </w:r>
      <w:r w:rsidRPr="00DF63AB">
        <w:rPr>
          <w:color w:val="113458"/>
          <w:vertAlign w:val="superscript"/>
        </w:rPr>
        <w:t>th</w:t>
      </w:r>
      <w:r w:rsidRPr="00DF63AB">
        <w:rPr>
          <w:color w:val="113458"/>
        </w:rPr>
        <w:t xml:space="preserve"> Floor · Holborn Gate · 326-330 High Holborn · London · WC1V 7PP </w:t>
      </w:r>
      <w:r w:rsidRPr="00DF63AB">
        <w:rPr>
          <w:color w:val="113458"/>
        </w:rPr>
        <w:br/>
        <w:t>Tel: +44 (0) 20 7632 2100 · Fax: +44 (0) 20 7632 2111</w:t>
      </w:r>
    </w:p>
    <w:p w14:paraId="5F12D1C0" w14:textId="77777777" w:rsidR="00FE6F0C" w:rsidRPr="00DF63AB" w:rsidRDefault="00FE6F0C" w:rsidP="00FE6F0C">
      <w:pPr>
        <w:pStyle w:val="IFOAofficesubtitlesCoverstyles"/>
        <w:rPr>
          <w:rFonts w:ascii="Arial" w:hAnsi="Arial" w:cs="Arial"/>
          <w:color w:val="113458"/>
        </w:rPr>
      </w:pPr>
      <w:r w:rsidRPr="00DF63AB">
        <w:rPr>
          <w:rFonts w:ascii="Arial" w:hAnsi="Arial" w:cs="Arial"/>
          <w:color w:val="113458"/>
        </w:rPr>
        <w:t>Edinburgh</w:t>
      </w:r>
    </w:p>
    <w:p w14:paraId="70059B46" w14:textId="77777777" w:rsidR="00FE6F0C" w:rsidRDefault="00FE6F0C" w:rsidP="00FE6F0C">
      <w:pPr>
        <w:pStyle w:val="IFOAaddresscontactdetailsCoverstyles"/>
        <w:spacing w:after="0"/>
        <w:rPr>
          <w:rFonts w:ascii="Arial" w:hAnsi="Arial" w:cs="Arial"/>
          <w:color w:val="113458"/>
        </w:rPr>
      </w:pPr>
      <w:r>
        <w:rPr>
          <w:rFonts w:ascii="Arial" w:hAnsi="Arial" w:cs="Arial"/>
          <w:color w:val="113458"/>
        </w:rPr>
        <w:t>Level 2 ·Exchange Crescent  · 7 Conference Square · Edinburgh ·EH3 8RA</w:t>
      </w:r>
    </w:p>
    <w:p w14:paraId="2222B52E" w14:textId="77777777" w:rsidR="00FE6F0C" w:rsidRPr="00DF63AB" w:rsidRDefault="00FE6F0C" w:rsidP="00FE6F0C">
      <w:pPr>
        <w:pStyle w:val="IFOAaddresscontactdetailsCoverstyles"/>
        <w:spacing w:after="0"/>
        <w:rPr>
          <w:rFonts w:ascii="Arial" w:hAnsi="Arial" w:cs="Arial"/>
          <w:color w:val="113458"/>
        </w:rPr>
      </w:pPr>
      <w:r>
        <w:rPr>
          <w:rFonts w:ascii="Arial" w:hAnsi="Arial" w:cs="Arial"/>
          <w:color w:val="113458"/>
        </w:rPr>
        <w:t>Tel: +44 (0) 131 240 1300 · Fax +44 (0) 131 240 1311</w:t>
      </w:r>
    </w:p>
    <w:p w14:paraId="288D7D27" w14:textId="77777777" w:rsidR="00FE6F0C" w:rsidRPr="00DF63AB" w:rsidRDefault="00FE6F0C" w:rsidP="00FE6F0C">
      <w:pPr>
        <w:pStyle w:val="IFOAofficesubtitlesCoverstyles"/>
        <w:rPr>
          <w:rFonts w:ascii="Arial" w:hAnsi="Arial" w:cs="Arial"/>
          <w:color w:val="113458"/>
        </w:rPr>
      </w:pPr>
      <w:r w:rsidRPr="00DF63AB">
        <w:rPr>
          <w:rFonts w:ascii="Arial" w:hAnsi="Arial" w:cs="Arial"/>
          <w:color w:val="113458"/>
        </w:rPr>
        <w:t>Oxford</w:t>
      </w:r>
    </w:p>
    <w:p w14:paraId="57071A08" w14:textId="77777777" w:rsidR="00FE6F0C" w:rsidRDefault="00FE6F0C" w:rsidP="00FE6F0C">
      <w:pPr>
        <w:pStyle w:val="IFOAaddresscontactdetailsCoverstyles"/>
        <w:rPr>
          <w:rFonts w:ascii="Arial" w:hAnsi="Arial" w:cs="Arial"/>
          <w:color w:val="113458"/>
        </w:rPr>
      </w:pPr>
      <w:r w:rsidRPr="00DF63AB">
        <w:rPr>
          <w:rFonts w:ascii="Arial" w:hAnsi="Arial" w:cs="Arial"/>
          <w:color w:val="113458"/>
        </w:rPr>
        <w:t>1</w:t>
      </w:r>
      <w:r w:rsidRPr="00DF63AB">
        <w:rPr>
          <w:rFonts w:ascii="Arial" w:hAnsi="Arial" w:cs="Arial"/>
          <w:color w:val="113458"/>
          <w:vertAlign w:val="superscript"/>
        </w:rPr>
        <w:t>st</w:t>
      </w:r>
      <w:r w:rsidRPr="00DF63AB">
        <w:rPr>
          <w:rFonts w:ascii="Arial" w:hAnsi="Arial" w:cs="Arial"/>
          <w:color w:val="113458"/>
        </w:rPr>
        <w:t xml:space="preserve"> Floor · Park Central · 40/41 Park End Street · Oxford · OX1 1JD</w:t>
      </w:r>
      <w:r w:rsidRPr="00DF63AB">
        <w:rPr>
          <w:rFonts w:ascii="Arial" w:hAnsi="Arial" w:cs="Arial"/>
          <w:color w:val="113458"/>
        </w:rPr>
        <w:br/>
        <w:t>Tel: +44 (0) 1865 268 200 · Fax: +44 (0) 1865 268 211</w:t>
      </w:r>
    </w:p>
    <w:p w14:paraId="467E8F14" w14:textId="77777777" w:rsidR="00FE6F0C" w:rsidRDefault="00FE6F0C" w:rsidP="00FE6F0C">
      <w:pPr>
        <w:pStyle w:val="IFOAofficesubtitlesCoverstyles"/>
        <w:rPr>
          <w:rFonts w:ascii="Arial" w:hAnsi="Arial" w:cs="Arial"/>
          <w:color w:val="113458"/>
        </w:rPr>
      </w:pPr>
      <w:r>
        <w:rPr>
          <w:rFonts w:ascii="Arial" w:hAnsi="Arial" w:cs="Arial"/>
          <w:color w:val="113458"/>
        </w:rPr>
        <w:t>Beijing</w:t>
      </w:r>
    </w:p>
    <w:p w14:paraId="0043DADF" w14:textId="77777777" w:rsidR="00FE6F0C" w:rsidRPr="00C11B78" w:rsidRDefault="00FE6F0C" w:rsidP="00FE6F0C">
      <w:pPr>
        <w:pStyle w:val="IFOAaddresscontactdetailsCoverstyles"/>
        <w:rPr>
          <w:rFonts w:ascii="Arial" w:hAnsi="Arial" w:cs="Arial"/>
          <w:color w:val="113458"/>
        </w:rPr>
      </w:pPr>
      <w:r>
        <w:rPr>
          <w:rFonts w:ascii="Arial" w:hAnsi="Arial" w:cs="Arial"/>
          <w:color w:val="113458"/>
        </w:rPr>
        <w:t xml:space="preserve">6/F </w:t>
      </w:r>
      <w:r w:rsidRPr="00DF63AB">
        <w:rPr>
          <w:rFonts w:ascii="Arial" w:hAnsi="Arial" w:cs="Arial"/>
          <w:color w:val="113458"/>
        </w:rPr>
        <w:t>·</w:t>
      </w:r>
      <w:r w:rsidRPr="00C11B78">
        <w:rPr>
          <w:rFonts w:ascii="Arial" w:hAnsi="Arial" w:cs="Arial"/>
          <w:color w:val="113458"/>
        </w:rPr>
        <w:t xml:space="preserve"> Tower 2 </w:t>
      </w:r>
      <w:r w:rsidRPr="00DF63AB">
        <w:rPr>
          <w:rFonts w:ascii="Arial" w:hAnsi="Arial" w:cs="Arial"/>
          <w:color w:val="113458"/>
        </w:rPr>
        <w:t>·</w:t>
      </w:r>
      <w:r w:rsidRPr="00C11B78">
        <w:rPr>
          <w:rFonts w:ascii="Arial" w:hAnsi="Arial" w:cs="Arial"/>
          <w:color w:val="113458"/>
        </w:rPr>
        <w:t xml:space="preserve"> Prosper Centre</w:t>
      </w:r>
      <w:r>
        <w:rPr>
          <w:rFonts w:ascii="Arial" w:hAnsi="Arial" w:cs="Arial"/>
          <w:color w:val="113458"/>
        </w:rPr>
        <w:t xml:space="preserve"> </w:t>
      </w:r>
      <w:r w:rsidRPr="00DF63AB">
        <w:rPr>
          <w:rFonts w:ascii="Arial" w:hAnsi="Arial" w:cs="Arial"/>
          <w:color w:val="113458"/>
        </w:rPr>
        <w:t>·</w:t>
      </w:r>
      <w:r>
        <w:rPr>
          <w:rFonts w:ascii="Arial" w:hAnsi="Arial" w:cs="Arial"/>
          <w:color w:val="113458"/>
        </w:rPr>
        <w:t xml:space="preserve">5 </w:t>
      </w:r>
      <w:proofErr w:type="spellStart"/>
      <w:r>
        <w:rPr>
          <w:rFonts w:ascii="Arial" w:hAnsi="Arial" w:cs="Arial"/>
          <w:color w:val="113458"/>
        </w:rPr>
        <w:t>Guanghua</w:t>
      </w:r>
      <w:proofErr w:type="spellEnd"/>
      <w:r>
        <w:rPr>
          <w:rFonts w:ascii="Arial" w:hAnsi="Arial" w:cs="Arial"/>
          <w:color w:val="113458"/>
        </w:rPr>
        <w:t xml:space="preserve"> Road </w:t>
      </w:r>
      <w:r w:rsidRPr="00DF63AB">
        <w:rPr>
          <w:rFonts w:ascii="Arial" w:hAnsi="Arial" w:cs="Arial"/>
          <w:color w:val="113458"/>
        </w:rPr>
        <w:t>·</w:t>
      </w:r>
      <w:r>
        <w:rPr>
          <w:rFonts w:ascii="Arial" w:hAnsi="Arial" w:cs="Arial"/>
          <w:color w:val="113458"/>
        </w:rPr>
        <w:t xml:space="preserve"> </w:t>
      </w:r>
      <w:r w:rsidRPr="00C11B78">
        <w:rPr>
          <w:rFonts w:ascii="Arial" w:hAnsi="Arial" w:cs="Arial"/>
          <w:color w:val="113458"/>
        </w:rPr>
        <w:t xml:space="preserve">Chaoyang District </w:t>
      </w:r>
      <w:r w:rsidRPr="00DF63AB">
        <w:rPr>
          <w:rFonts w:ascii="Arial" w:hAnsi="Arial" w:cs="Arial"/>
          <w:color w:val="113458"/>
        </w:rPr>
        <w:t>·</w:t>
      </w:r>
      <w:r>
        <w:rPr>
          <w:rFonts w:ascii="Arial" w:hAnsi="Arial" w:cs="Arial"/>
          <w:color w:val="113458"/>
        </w:rPr>
        <w:t xml:space="preserve"> Beijing </w:t>
      </w:r>
      <w:r w:rsidRPr="00DF63AB">
        <w:rPr>
          <w:rFonts w:ascii="Arial" w:hAnsi="Arial" w:cs="Arial"/>
          <w:color w:val="113458"/>
        </w:rPr>
        <w:t>·</w:t>
      </w:r>
      <w:r>
        <w:rPr>
          <w:rFonts w:ascii="Arial" w:hAnsi="Arial" w:cs="Arial"/>
          <w:color w:val="113458"/>
        </w:rPr>
        <w:t xml:space="preserve"> </w:t>
      </w:r>
      <w:r w:rsidRPr="00C11B78">
        <w:rPr>
          <w:rFonts w:ascii="Arial" w:hAnsi="Arial" w:cs="Arial"/>
          <w:color w:val="113458"/>
        </w:rPr>
        <w:t>China 1000020</w:t>
      </w:r>
      <w:r w:rsidRPr="00C11B78">
        <w:rPr>
          <w:rFonts w:ascii="Arial" w:hAnsi="Arial" w:cs="Arial"/>
          <w:color w:val="113458"/>
        </w:rPr>
        <w:br/>
        <w:t>Tel: +86 (10) 8573 1000</w:t>
      </w:r>
    </w:p>
    <w:p w14:paraId="46304001" w14:textId="77777777" w:rsidR="00FE6F0C" w:rsidRPr="00DF63AB" w:rsidRDefault="00FE6F0C" w:rsidP="00FE6F0C">
      <w:pPr>
        <w:pStyle w:val="IFOAofficesubtitlesCoverstyles"/>
        <w:rPr>
          <w:rFonts w:ascii="Arial" w:hAnsi="Arial" w:cs="Arial"/>
          <w:color w:val="113458"/>
          <w:lang w:val="en-US"/>
        </w:rPr>
      </w:pPr>
      <w:r w:rsidRPr="00DF63AB">
        <w:rPr>
          <w:rFonts w:ascii="Arial" w:hAnsi="Arial" w:cs="Arial"/>
          <w:color w:val="113458"/>
          <w:lang w:val="en-US"/>
        </w:rPr>
        <w:t>Hong Kong</w:t>
      </w:r>
    </w:p>
    <w:p w14:paraId="44143989" w14:textId="77777777" w:rsidR="00FE6F0C" w:rsidRDefault="00FE6F0C" w:rsidP="00FE6F0C">
      <w:pPr>
        <w:rPr>
          <w:rFonts w:ascii="Arial" w:hAnsi="Arial" w:cs="Arial"/>
          <w:color w:val="113458"/>
          <w:sz w:val="17"/>
          <w:szCs w:val="17"/>
        </w:rPr>
      </w:pPr>
      <w:r w:rsidRPr="00DF63AB">
        <w:rPr>
          <w:rFonts w:ascii="Arial" w:hAnsi="Arial" w:cs="Arial"/>
          <w:color w:val="113458"/>
          <w:sz w:val="17"/>
          <w:szCs w:val="17"/>
        </w:rPr>
        <w:t>2202 Tower Two · Lippo Centre · 89 Queensway · Hong Kong</w:t>
      </w:r>
      <w:r w:rsidRPr="00DF63AB">
        <w:rPr>
          <w:rFonts w:ascii="Arial" w:hAnsi="Arial" w:cs="Arial"/>
          <w:color w:val="113458"/>
          <w:sz w:val="17"/>
          <w:szCs w:val="17"/>
        </w:rPr>
        <w:br/>
        <w:t>Tel: +11 (0) 852 2147 9418 · Fax: +11 (0) 852 2147 2497</w:t>
      </w:r>
    </w:p>
    <w:p w14:paraId="56F01675" w14:textId="77777777" w:rsidR="00FE6F0C" w:rsidRPr="00C11B78" w:rsidRDefault="00FE6F0C" w:rsidP="00FE6F0C">
      <w:pPr>
        <w:pStyle w:val="IFOAofficesubtitlesCoverstyles"/>
        <w:rPr>
          <w:rFonts w:ascii="Arial" w:hAnsi="Arial" w:cs="Arial"/>
          <w:color w:val="113458"/>
        </w:rPr>
      </w:pPr>
      <w:r w:rsidRPr="00C11B78">
        <w:rPr>
          <w:rFonts w:ascii="Arial" w:hAnsi="Arial" w:cs="Arial"/>
          <w:color w:val="113458"/>
        </w:rPr>
        <w:t>Singapore</w:t>
      </w:r>
    </w:p>
    <w:p w14:paraId="539A709A" w14:textId="77777777" w:rsidR="00FE6F0C" w:rsidRDefault="00FE6F0C" w:rsidP="00FE6F0C">
      <w:pPr>
        <w:rPr>
          <w:rFonts w:ascii="Arial" w:hAnsi="Arial" w:cs="Arial"/>
          <w:color w:val="113458"/>
          <w:sz w:val="17"/>
          <w:szCs w:val="17"/>
        </w:rPr>
      </w:pPr>
      <w:r>
        <w:rPr>
          <w:rFonts w:ascii="Arial" w:hAnsi="Arial" w:cs="Arial"/>
          <w:color w:val="113458"/>
          <w:sz w:val="17"/>
          <w:szCs w:val="17"/>
        </w:rPr>
        <w:t xml:space="preserve">163 </w:t>
      </w:r>
      <w:proofErr w:type="spellStart"/>
      <w:r>
        <w:rPr>
          <w:rFonts w:ascii="Arial" w:hAnsi="Arial" w:cs="Arial"/>
          <w:color w:val="113458"/>
          <w:sz w:val="17"/>
          <w:szCs w:val="17"/>
        </w:rPr>
        <w:t>Tras</w:t>
      </w:r>
      <w:proofErr w:type="spellEnd"/>
      <w:r>
        <w:rPr>
          <w:rFonts w:ascii="Arial" w:hAnsi="Arial" w:cs="Arial"/>
          <w:color w:val="113458"/>
          <w:sz w:val="17"/>
          <w:szCs w:val="17"/>
        </w:rPr>
        <w:t xml:space="preserve"> Street </w:t>
      </w:r>
      <w:r w:rsidRPr="00DF63AB">
        <w:rPr>
          <w:rFonts w:ascii="Arial" w:hAnsi="Arial" w:cs="Arial"/>
          <w:color w:val="113458"/>
          <w:sz w:val="17"/>
          <w:szCs w:val="17"/>
        </w:rPr>
        <w:t>·</w:t>
      </w:r>
      <w:r>
        <w:rPr>
          <w:rFonts w:ascii="Arial" w:hAnsi="Arial" w:cs="Arial"/>
          <w:color w:val="113458"/>
          <w:sz w:val="17"/>
          <w:szCs w:val="17"/>
        </w:rPr>
        <w:t xml:space="preserve"> </w:t>
      </w:r>
      <w:r w:rsidRPr="00C11B78">
        <w:rPr>
          <w:rFonts w:ascii="Arial" w:hAnsi="Arial" w:cs="Arial"/>
          <w:color w:val="113458"/>
          <w:sz w:val="17"/>
          <w:szCs w:val="17"/>
        </w:rPr>
        <w:t xml:space="preserve">#07-05 </w:t>
      </w:r>
      <w:proofErr w:type="spellStart"/>
      <w:r w:rsidRPr="00C11B78">
        <w:rPr>
          <w:rFonts w:ascii="Arial" w:hAnsi="Arial" w:cs="Arial"/>
          <w:color w:val="113458"/>
          <w:sz w:val="17"/>
          <w:szCs w:val="17"/>
        </w:rPr>
        <w:t>Lian</w:t>
      </w:r>
      <w:proofErr w:type="spellEnd"/>
      <w:r w:rsidRPr="00C11B78">
        <w:rPr>
          <w:rFonts w:ascii="Arial" w:hAnsi="Arial" w:cs="Arial"/>
          <w:color w:val="113458"/>
          <w:sz w:val="17"/>
          <w:szCs w:val="17"/>
        </w:rPr>
        <w:t xml:space="preserve"> </w:t>
      </w:r>
      <w:proofErr w:type="spellStart"/>
      <w:r w:rsidRPr="00C11B78">
        <w:rPr>
          <w:rFonts w:ascii="Arial" w:hAnsi="Arial" w:cs="Arial"/>
          <w:color w:val="113458"/>
          <w:sz w:val="17"/>
          <w:szCs w:val="17"/>
        </w:rPr>
        <w:t>Huat</w:t>
      </w:r>
      <w:proofErr w:type="spellEnd"/>
      <w:r w:rsidRPr="00C11B78">
        <w:rPr>
          <w:rFonts w:ascii="Arial" w:hAnsi="Arial" w:cs="Arial"/>
          <w:color w:val="113458"/>
          <w:sz w:val="17"/>
          <w:szCs w:val="17"/>
        </w:rPr>
        <w:t xml:space="preserve"> Building </w:t>
      </w:r>
      <w:r w:rsidRPr="00DF63AB">
        <w:rPr>
          <w:rFonts w:ascii="Arial" w:hAnsi="Arial" w:cs="Arial"/>
          <w:color w:val="113458"/>
          <w:sz w:val="17"/>
          <w:szCs w:val="17"/>
        </w:rPr>
        <w:t>·</w:t>
      </w:r>
      <w:r w:rsidRPr="00C11B78">
        <w:rPr>
          <w:rFonts w:ascii="Arial" w:hAnsi="Arial" w:cs="Arial"/>
          <w:color w:val="113458"/>
          <w:sz w:val="17"/>
          <w:szCs w:val="17"/>
        </w:rPr>
        <w:t xml:space="preserve"> Singapore </w:t>
      </w:r>
      <w:r w:rsidRPr="00DF63AB">
        <w:rPr>
          <w:rFonts w:ascii="Arial" w:hAnsi="Arial" w:cs="Arial"/>
          <w:color w:val="113458"/>
          <w:sz w:val="17"/>
          <w:szCs w:val="17"/>
        </w:rPr>
        <w:t xml:space="preserve">· </w:t>
      </w:r>
      <w:r>
        <w:rPr>
          <w:rFonts w:ascii="Arial" w:hAnsi="Arial" w:cs="Arial"/>
          <w:color w:val="113458"/>
          <w:sz w:val="17"/>
          <w:szCs w:val="17"/>
        </w:rPr>
        <w:t xml:space="preserve"> </w:t>
      </w:r>
      <w:r w:rsidRPr="00C11B78">
        <w:rPr>
          <w:rFonts w:ascii="Arial" w:hAnsi="Arial" w:cs="Arial"/>
          <w:color w:val="113458"/>
          <w:sz w:val="17"/>
          <w:szCs w:val="17"/>
        </w:rPr>
        <w:t>079024</w:t>
      </w:r>
      <w:r w:rsidRPr="00C11B78">
        <w:rPr>
          <w:rFonts w:ascii="Arial" w:hAnsi="Arial" w:cs="Arial"/>
          <w:color w:val="113458"/>
          <w:sz w:val="17"/>
          <w:szCs w:val="17"/>
        </w:rPr>
        <w:br/>
        <w:t>Tel: +65 6717 2955</w:t>
      </w:r>
    </w:p>
    <w:p w14:paraId="66DEA593" w14:textId="77777777" w:rsidR="00FE6F0C" w:rsidRDefault="00FE6F0C" w:rsidP="00FE6F0C">
      <w:pPr>
        <w:rPr>
          <w:rFonts w:ascii="Arial" w:hAnsi="Arial" w:cs="Arial"/>
          <w:color w:val="113458"/>
          <w:sz w:val="17"/>
          <w:szCs w:val="17"/>
        </w:rPr>
      </w:pPr>
    </w:p>
    <w:p w14:paraId="0682EC3F" w14:textId="77777777" w:rsidR="00FE6F0C" w:rsidRDefault="004A1E62" w:rsidP="00FE6F0C">
      <w:pPr>
        <w:rPr>
          <w:rFonts w:ascii="Arial" w:hAnsi="Arial" w:cs="Arial"/>
          <w:color w:val="113458"/>
        </w:rPr>
      </w:pPr>
      <w:hyperlink r:id="rId22" w:history="1">
        <w:r w:rsidR="00FE6F0C" w:rsidRPr="00105FC7">
          <w:rPr>
            <w:rStyle w:val="Hyperlink"/>
            <w:rFonts w:ascii="Arial" w:hAnsi="Arial" w:cs="Arial"/>
          </w:rPr>
          <w:t>www.actuaries.org.uk</w:t>
        </w:r>
      </w:hyperlink>
    </w:p>
    <w:p w14:paraId="67ADD951" w14:textId="69AAA84C" w:rsidR="00A678FB" w:rsidRPr="00531E29" w:rsidRDefault="00FE6F0C" w:rsidP="00FE6F0C">
      <w:pPr>
        <w:rPr>
          <w:rFonts w:ascii="Arial" w:hAnsi="Arial" w:cs="Arial"/>
          <w:color w:val="113458"/>
          <w:sz w:val="16"/>
          <w:szCs w:val="16"/>
        </w:rPr>
      </w:pPr>
      <w:r w:rsidRPr="00CC40F9">
        <w:rPr>
          <w:rFonts w:ascii="Arial" w:hAnsi="Arial" w:cs="Arial"/>
          <w:color w:val="113458"/>
          <w:sz w:val="16"/>
          <w:szCs w:val="16"/>
        </w:rPr>
        <w:t>© 201</w:t>
      </w:r>
      <w:r w:rsidR="00520FD3">
        <w:rPr>
          <w:rFonts w:ascii="Arial" w:hAnsi="Arial" w:cs="Arial"/>
          <w:color w:val="113458"/>
          <w:sz w:val="16"/>
          <w:szCs w:val="16"/>
        </w:rPr>
        <w:t>8</w:t>
      </w:r>
      <w:r w:rsidRPr="00CC40F9">
        <w:rPr>
          <w:rFonts w:ascii="Arial" w:hAnsi="Arial" w:cs="Arial"/>
          <w:color w:val="113458"/>
          <w:sz w:val="16"/>
          <w:szCs w:val="16"/>
        </w:rPr>
        <w:t xml:space="preserve"> Institute and Faculty of Actuaries</w:t>
      </w:r>
    </w:p>
    <w:sectPr w:rsidR="00A678FB" w:rsidRPr="00531E29" w:rsidSect="00CC45F4">
      <w:headerReference w:type="default" r:id="rId23"/>
      <w:footerReference w:type="default" r:id="rId24"/>
      <w:headerReference w:type="first" r:id="rId25"/>
      <w:pgSz w:w="11906" w:h="16838"/>
      <w:pgMar w:top="1440" w:right="1440" w:bottom="1021" w:left="1440" w:header="709" w:footer="709"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jonathan welsh" w:date="2018-01-25T09:00:00Z" w:initials="jw">
    <w:p w14:paraId="5CFA7151" w14:textId="77777777" w:rsidR="004A1E62" w:rsidRDefault="004A1E62">
      <w:pPr>
        <w:pStyle w:val="CommentText"/>
      </w:pPr>
      <w:r>
        <w:rPr>
          <w:rStyle w:val="CommentReference"/>
        </w:rPr>
        <w:annotationRef/>
      </w:r>
      <w:r>
        <w:t>We need to check in with WTW that we can use this.</w:t>
      </w:r>
    </w:p>
  </w:comment>
  <w:comment w:id="1" w:author="jonathan welsh" w:date="2018-03-23T08:27:00Z" w:initials="jw">
    <w:p w14:paraId="6FB8C813" w14:textId="77777777" w:rsidR="004A1E62" w:rsidRDefault="004A1E62">
      <w:pPr>
        <w:pStyle w:val="CommentText"/>
      </w:pPr>
      <w:r>
        <w:rPr>
          <w:rStyle w:val="CommentReference"/>
        </w:rPr>
        <w:annotationRef/>
      </w:r>
      <w:r>
        <w:t>Not sure what this is saying!</w:t>
      </w:r>
    </w:p>
  </w:comment>
  <w:comment w:id="2" w:author="jonathan welsh" w:date="2018-01-25T09:05:00Z" w:initials="jw">
    <w:p w14:paraId="04CC2AFE" w14:textId="77777777" w:rsidR="004A1E62" w:rsidRDefault="004A1E62">
      <w:pPr>
        <w:pStyle w:val="CommentText"/>
      </w:pPr>
      <w:r>
        <w:rPr>
          <w:rStyle w:val="CommentReference"/>
        </w:rPr>
        <w:annotationRef/>
      </w:r>
      <w:r>
        <w:t>Check – were these the TR figures?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FA7151" w15:done="0"/>
  <w15:commentEx w15:paraId="6FB8C813" w15:done="0"/>
  <w15:commentEx w15:paraId="04CC2AF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9E091E" w14:textId="77777777" w:rsidR="004A1E62" w:rsidRDefault="004A1E62" w:rsidP="00361531">
      <w:pPr>
        <w:spacing w:after="0" w:line="240" w:lineRule="auto"/>
      </w:pPr>
      <w:r>
        <w:separator/>
      </w:r>
    </w:p>
  </w:endnote>
  <w:endnote w:type="continuationSeparator" w:id="0">
    <w:p w14:paraId="114875ED" w14:textId="77777777" w:rsidR="004A1E62" w:rsidRDefault="004A1E62" w:rsidP="00361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tham Bold">
    <w:panose1 w:val="00000000000000000000"/>
    <w:charset w:val="00"/>
    <w:family w:val="modern"/>
    <w:notTrueType/>
    <w:pitch w:val="variable"/>
    <w:sig w:usb0="A10000FF" w:usb1="4000005B" w:usb2="00000000" w:usb3="00000000" w:csb0="0000009B" w:csb1="00000000"/>
  </w:font>
  <w:font w:name="Gotham Narrow Book">
    <w:altName w:val="Gotham Narrow Book"/>
    <w:panose1 w:val="00000000000000000000"/>
    <w:charset w:val="00"/>
    <w:family w:val="modern"/>
    <w:notTrueType/>
    <w:pitch w:val="variable"/>
    <w:sig w:usb0="A00000FF" w:usb1="4000004A" w:usb2="00000000" w:usb3="00000000" w:csb0="0000009B"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080759"/>
      <w:docPartObj>
        <w:docPartGallery w:val="Page Numbers (Bottom of Page)"/>
        <w:docPartUnique/>
      </w:docPartObj>
    </w:sdtPr>
    <w:sdtEndPr>
      <w:rPr>
        <w:noProof/>
      </w:rPr>
    </w:sdtEndPr>
    <w:sdtContent>
      <w:p w14:paraId="3238F2AA" w14:textId="77777777" w:rsidR="004A1E62" w:rsidRDefault="004A1E62">
        <w:pPr>
          <w:pStyle w:val="Footer"/>
          <w:jc w:val="center"/>
        </w:pPr>
        <w:r>
          <w:fldChar w:fldCharType="begin"/>
        </w:r>
        <w:r>
          <w:instrText xml:space="preserve"> PAGE   \* MERGEFORMAT </w:instrText>
        </w:r>
        <w:r>
          <w:fldChar w:fldCharType="separate"/>
        </w:r>
        <w:r w:rsidR="004226CC">
          <w:rPr>
            <w:noProof/>
          </w:rPr>
          <w:t>23</w:t>
        </w:r>
        <w:r>
          <w:rPr>
            <w:noProof/>
          </w:rPr>
          <w:fldChar w:fldCharType="end"/>
        </w:r>
      </w:p>
    </w:sdtContent>
  </w:sdt>
  <w:p w14:paraId="4DC22C4A" w14:textId="77777777" w:rsidR="004A1E62" w:rsidRDefault="004A1E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12E886" w14:textId="77777777" w:rsidR="004A1E62" w:rsidRDefault="004A1E62" w:rsidP="00361531">
      <w:pPr>
        <w:spacing w:after="0" w:line="240" w:lineRule="auto"/>
      </w:pPr>
      <w:r>
        <w:separator/>
      </w:r>
    </w:p>
  </w:footnote>
  <w:footnote w:type="continuationSeparator" w:id="0">
    <w:p w14:paraId="36BA8C7D" w14:textId="77777777" w:rsidR="004A1E62" w:rsidRDefault="004A1E62" w:rsidP="00361531">
      <w:pPr>
        <w:spacing w:after="0" w:line="240" w:lineRule="auto"/>
      </w:pPr>
      <w:r>
        <w:continuationSeparator/>
      </w:r>
    </w:p>
  </w:footnote>
  <w:footnote w:id="1">
    <w:p w14:paraId="3E3C68B8" w14:textId="7AECC55C" w:rsidR="00BB68B3" w:rsidRPr="001953B6" w:rsidRDefault="00BB68B3" w:rsidP="001953B6">
      <w:pPr>
        <w:rPr>
          <w:rFonts w:ascii="Arial" w:eastAsia="Times New Roman" w:hAnsi="Arial" w:cs="Arial"/>
          <w:color w:val="666666"/>
          <w:sz w:val="24"/>
          <w:szCs w:val="24"/>
        </w:rPr>
      </w:pPr>
      <w:r>
        <w:rPr>
          <w:rStyle w:val="FootnoteReference"/>
        </w:rPr>
        <w:footnoteRef/>
      </w:r>
      <w:r>
        <w:t xml:space="preserve"> </w:t>
      </w:r>
      <w:r w:rsidRPr="0040446D">
        <w:rPr>
          <w:sz w:val="20"/>
          <w:szCs w:val="20"/>
        </w:rPr>
        <w:t>https://www.actuaries.org.uk/documents/briefing-note-profits-policies</w:t>
      </w:r>
    </w:p>
  </w:footnote>
  <w:footnote w:id="2">
    <w:p w14:paraId="2E8A3E6D" w14:textId="77777777" w:rsidR="00BB68B3" w:rsidRDefault="004A1E62">
      <w:pPr>
        <w:pStyle w:val="FootnoteText"/>
      </w:pPr>
      <w:r>
        <w:rPr>
          <w:rStyle w:val="FootnoteReference"/>
        </w:rPr>
        <w:footnoteRef/>
      </w:r>
      <w:r w:rsidR="00BB68B3">
        <w:t xml:space="preserve"> See for example: </w:t>
      </w:r>
      <w:r w:rsidR="00BB68B3" w:rsidRPr="00130C31">
        <w:t>https://www.nottingham.ac.uk/business/businesscentres/crbfs/documents/cris-reports/cris-paper-2009-3a.pdf</w:t>
      </w:r>
    </w:p>
  </w:footnote>
  <w:footnote w:id="3">
    <w:p w14:paraId="08899E70" w14:textId="685C5A66" w:rsidR="00BB68B3" w:rsidRDefault="004A1E62">
      <w:pPr>
        <w:pStyle w:val="FootnoteText"/>
      </w:pPr>
      <w:r>
        <w:rPr>
          <w:rStyle w:val="FootnoteReference"/>
        </w:rPr>
        <w:footnoteRef/>
      </w:r>
      <w:r w:rsidR="0040446D" w:rsidRPr="0040446D">
        <w:t xml:space="preserve"> https://www.handbook.fca.org.uk/instrument/2003/2003_44.pdf</w:t>
      </w:r>
    </w:p>
  </w:footnote>
  <w:footnote w:id="4">
    <w:p w14:paraId="228FE311" w14:textId="1C77E6C8" w:rsidR="004A1E62" w:rsidRDefault="004A1E62">
      <w:pPr>
        <w:pStyle w:val="FootnoteText"/>
      </w:pPr>
      <w:r>
        <w:rPr>
          <w:rStyle w:val="FootnoteReference"/>
        </w:rPr>
        <w:footnoteRef/>
      </w:r>
      <w:r>
        <w:t xml:space="preserve"> </w:t>
      </w:r>
      <w:r w:rsidR="00F60A5B">
        <w:t xml:space="preserve">A tontine is, in simple terms, </w:t>
      </w:r>
      <w:r w:rsidR="00F60A5B" w:rsidRPr="00F60A5B">
        <w:t>a scheme for life assurance in which the beneficiaries are those who survive and maintain a policy to the end of a given period</w:t>
      </w:r>
    </w:p>
  </w:footnote>
  <w:footnote w:id="5">
    <w:p w14:paraId="0506B562" w14:textId="77777777" w:rsidR="004A1E62" w:rsidRDefault="004A1E62" w:rsidP="00600F72">
      <w:pPr>
        <w:pStyle w:val="FootnoteText"/>
      </w:pPr>
      <w:r>
        <w:rPr>
          <w:rStyle w:val="FootnoteReference"/>
        </w:rPr>
        <w:footnoteRef/>
      </w:r>
      <w:r>
        <w:t xml:space="preserve"> </w:t>
      </w:r>
      <w:r w:rsidRPr="00600F72">
        <w:t>https://www.fca.org.uk/publication/policy/ps16-23.pdf</w:t>
      </w:r>
    </w:p>
  </w:footnote>
  <w:footnote w:id="6">
    <w:p w14:paraId="1EE07C89" w14:textId="77777777" w:rsidR="004A1E62" w:rsidRDefault="004A1E62">
      <w:pPr>
        <w:pStyle w:val="FootnoteText"/>
      </w:pPr>
      <w:r>
        <w:rPr>
          <w:rStyle w:val="FootnoteReference"/>
        </w:rPr>
        <w:footnoteRef/>
      </w:r>
      <w:r>
        <w:t xml:space="preserve"> </w:t>
      </w:r>
      <w:r w:rsidRPr="001953B6">
        <w:t>https://www.fca.org.uk/publications/finalised-guidance/fair-treatment-long-standing-customers-life-insurance-sector</w:t>
      </w:r>
    </w:p>
  </w:footnote>
  <w:footnote w:id="7">
    <w:p w14:paraId="73DF38DA" w14:textId="77777777" w:rsidR="004A1E62" w:rsidRDefault="004A1E62" w:rsidP="00501D3F">
      <w:pPr>
        <w:pStyle w:val="FootnoteText"/>
      </w:pPr>
      <w:r>
        <w:rPr>
          <w:rStyle w:val="FootnoteReference"/>
        </w:rPr>
        <w:footnoteRef/>
      </w:r>
      <w:r>
        <w:t xml:space="preserve"> </w:t>
      </w:r>
      <w:r>
        <w:rPr>
          <w:i/>
        </w:rPr>
        <w:t>With-Profits Expense and Pay-out Benchmarking Survey</w:t>
      </w:r>
      <w:r>
        <w:t xml:space="preserve"> – 14 November 2016</w:t>
      </w:r>
    </w:p>
  </w:footnote>
  <w:footnote w:id="8">
    <w:p w14:paraId="5594F16A" w14:textId="77777777" w:rsidR="004A1E62" w:rsidRDefault="004A1E62" w:rsidP="00501D3F">
      <w:pPr>
        <w:pStyle w:val="FootnoteText"/>
      </w:pPr>
      <w:r>
        <w:rPr>
          <w:rStyle w:val="FootnoteReference"/>
        </w:rPr>
        <w:footnoteRef/>
      </w:r>
      <w:r>
        <w:t xml:space="preserve"> </w:t>
      </w:r>
      <w:r>
        <w:rPr>
          <w:i/>
        </w:rPr>
        <w:t xml:space="preserve">Money Management Personal Pensions Survey, </w:t>
      </w:r>
      <w:r>
        <w:t>March 2016, values as at 1 March 2016</w:t>
      </w:r>
    </w:p>
  </w:footnote>
  <w:footnote w:id="9">
    <w:p w14:paraId="4DFE50D7" w14:textId="77777777" w:rsidR="004A1E62" w:rsidRDefault="004A1E62" w:rsidP="00501D3F">
      <w:pPr>
        <w:pStyle w:val="FootnoteText"/>
      </w:pPr>
      <w:r>
        <w:rPr>
          <w:rStyle w:val="FootnoteReference"/>
        </w:rPr>
        <w:footnoteRef/>
      </w:r>
      <w:r>
        <w:t xml:space="preserve"> Mixed investment, 40%-85% shares</w:t>
      </w:r>
    </w:p>
  </w:footnote>
  <w:footnote w:id="10">
    <w:p w14:paraId="30702013" w14:textId="77777777" w:rsidR="004A1E62" w:rsidRDefault="004A1E62" w:rsidP="00166D35">
      <w:pPr>
        <w:pStyle w:val="FootnoteText"/>
      </w:pPr>
      <w:r>
        <w:rPr>
          <w:rStyle w:val="FootnoteReference"/>
        </w:rPr>
        <w:footnoteRef/>
      </w:r>
      <w:r>
        <w:t xml:space="preserve"> Taken to be guaranteed minimum policy benefit for Conventional with-profits plans</w:t>
      </w:r>
    </w:p>
  </w:footnote>
  <w:footnote w:id="11">
    <w:p w14:paraId="588B35D1" w14:textId="77777777" w:rsidR="004A1E62" w:rsidRDefault="004A1E62" w:rsidP="00166D35">
      <w:pPr>
        <w:pStyle w:val="FootnoteText"/>
      </w:pPr>
      <w:r>
        <w:rPr>
          <w:rStyle w:val="FootnoteReference"/>
        </w:rPr>
        <w:footnoteRef/>
      </w:r>
      <w:r>
        <w:t xml:space="preserve"> This is only applicable for premium paying plans.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7ACFF" w14:textId="77777777" w:rsidR="004A1E62" w:rsidRDefault="004A1E62" w:rsidP="005558E4">
    <w:pPr>
      <w:pStyle w:val="Header"/>
    </w:pPr>
  </w:p>
  <w:p w14:paraId="2CF466CA" w14:textId="77777777" w:rsidR="004A1E62" w:rsidRDefault="004A1E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E5243" w14:textId="77777777" w:rsidR="004A1E62" w:rsidRDefault="004A1E62">
    <w:pPr>
      <w:pStyle w:val="Header"/>
    </w:pPr>
    <w:r>
      <w:rPr>
        <w:noProof/>
      </w:rPr>
      <w:drawing>
        <wp:anchor distT="0" distB="0" distL="114300" distR="114300" simplePos="0" relativeHeight="251658240" behindDoc="1" locked="0" layoutInCell="1" allowOverlap="1" wp14:anchorId="6222F842" wp14:editId="729AF881">
          <wp:simplePos x="0" y="0"/>
          <wp:positionH relativeFrom="column">
            <wp:posOffset>-914400</wp:posOffset>
          </wp:positionH>
          <wp:positionV relativeFrom="paragraph">
            <wp:posOffset>-461367</wp:posOffset>
          </wp:positionV>
          <wp:extent cx="7560000" cy="10692000"/>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ite word cover.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F72F3"/>
    <w:multiLevelType w:val="hybridMultilevel"/>
    <w:tmpl w:val="3460B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3815E3"/>
    <w:multiLevelType w:val="hybridMultilevel"/>
    <w:tmpl w:val="C83414AE"/>
    <w:lvl w:ilvl="0" w:tplc="8A6CD7D6">
      <w:start w:val="1"/>
      <w:numFmt w:val="bullet"/>
      <w:lvlText w:val=""/>
      <w:lvlJc w:val="left"/>
      <w:pPr>
        <w:ind w:left="720" w:hanging="360"/>
      </w:pPr>
      <w:rPr>
        <w:rFonts w:ascii="Wingdings 3" w:hAnsi="Wingdings 3" w:hint="default"/>
        <w:color w:val="FFC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86F21ED"/>
    <w:multiLevelType w:val="hybridMultilevel"/>
    <w:tmpl w:val="3650FBD2"/>
    <w:lvl w:ilvl="0" w:tplc="2064E77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EC5876"/>
    <w:multiLevelType w:val="hybridMultilevel"/>
    <w:tmpl w:val="F5AEBCCC"/>
    <w:lvl w:ilvl="0" w:tplc="8A6CD7D6">
      <w:start w:val="1"/>
      <w:numFmt w:val="bullet"/>
      <w:lvlText w:val=""/>
      <w:lvlJc w:val="left"/>
      <w:pPr>
        <w:ind w:left="720" w:hanging="360"/>
      </w:pPr>
      <w:rPr>
        <w:rFonts w:ascii="Wingdings 3" w:hAnsi="Wingdings 3" w:hint="default"/>
        <w:color w:val="FFC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CAC382A"/>
    <w:multiLevelType w:val="hybridMultilevel"/>
    <w:tmpl w:val="CEF0579A"/>
    <w:lvl w:ilvl="0" w:tplc="3D8A37DE">
      <w:start w:val="1"/>
      <w:numFmt w:val="bullet"/>
      <w:lvlText w:val="•"/>
      <w:lvlJc w:val="left"/>
      <w:pPr>
        <w:tabs>
          <w:tab w:val="num" w:pos="720"/>
        </w:tabs>
        <w:ind w:left="720" w:hanging="360"/>
      </w:pPr>
      <w:rPr>
        <w:rFonts w:ascii="Times New Roman" w:hAnsi="Times New Roman" w:hint="default"/>
      </w:rPr>
    </w:lvl>
    <w:lvl w:ilvl="1" w:tplc="8D22D0BC">
      <w:start w:val="1"/>
      <w:numFmt w:val="bullet"/>
      <w:lvlText w:val="•"/>
      <w:lvlJc w:val="left"/>
      <w:pPr>
        <w:tabs>
          <w:tab w:val="num" w:pos="1440"/>
        </w:tabs>
        <w:ind w:left="1440" w:hanging="360"/>
      </w:pPr>
      <w:rPr>
        <w:rFonts w:ascii="Times New Roman" w:hAnsi="Times New Roman" w:hint="default"/>
      </w:rPr>
    </w:lvl>
    <w:lvl w:ilvl="2" w:tplc="7D466B5E" w:tentative="1">
      <w:start w:val="1"/>
      <w:numFmt w:val="bullet"/>
      <w:lvlText w:val="•"/>
      <w:lvlJc w:val="left"/>
      <w:pPr>
        <w:tabs>
          <w:tab w:val="num" w:pos="2160"/>
        </w:tabs>
        <w:ind w:left="2160" w:hanging="360"/>
      </w:pPr>
      <w:rPr>
        <w:rFonts w:ascii="Times New Roman" w:hAnsi="Times New Roman" w:hint="default"/>
      </w:rPr>
    </w:lvl>
    <w:lvl w:ilvl="3" w:tplc="7B8AD944" w:tentative="1">
      <w:start w:val="1"/>
      <w:numFmt w:val="bullet"/>
      <w:lvlText w:val="•"/>
      <w:lvlJc w:val="left"/>
      <w:pPr>
        <w:tabs>
          <w:tab w:val="num" w:pos="2880"/>
        </w:tabs>
        <w:ind w:left="2880" w:hanging="360"/>
      </w:pPr>
      <w:rPr>
        <w:rFonts w:ascii="Times New Roman" w:hAnsi="Times New Roman" w:hint="default"/>
      </w:rPr>
    </w:lvl>
    <w:lvl w:ilvl="4" w:tplc="9A6E19FC" w:tentative="1">
      <w:start w:val="1"/>
      <w:numFmt w:val="bullet"/>
      <w:lvlText w:val="•"/>
      <w:lvlJc w:val="left"/>
      <w:pPr>
        <w:tabs>
          <w:tab w:val="num" w:pos="3600"/>
        </w:tabs>
        <w:ind w:left="3600" w:hanging="360"/>
      </w:pPr>
      <w:rPr>
        <w:rFonts w:ascii="Times New Roman" w:hAnsi="Times New Roman" w:hint="default"/>
      </w:rPr>
    </w:lvl>
    <w:lvl w:ilvl="5" w:tplc="44BE9A90" w:tentative="1">
      <w:start w:val="1"/>
      <w:numFmt w:val="bullet"/>
      <w:lvlText w:val="•"/>
      <w:lvlJc w:val="left"/>
      <w:pPr>
        <w:tabs>
          <w:tab w:val="num" w:pos="4320"/>
        </w:tabs>
        <w:ind w:left="4320" w:hanging="360"/>
      </w:pPr>
      <w:rPr>
        <w:rFonts w:ascii="Times New Roman" w:hAnsi="Times New Roman" w:hint="default"/>
      </w:rPr>
    </w:lvl>
    <w:lvl w:ilvl="6" w:tplc="F20C38AE" w:tentative="1">
      <w:start w:val="1"/>
      <w:numFmt w:val="bullet"/>
      <w:lvlText w:val="•"/>
      <w:lvlJc w:val="left"/>
      <w:pPr>
        <w:tabs>
          <w:tab w:val="num" w:pos="5040"/>
        </w:tabs>
        <w:ind w:left="5040" w:hanging="360"/>
      </w:pPr>
      <w:rPr>
        <w:rFonts w:ascii="Times New Roman" w:hAnsi="Times New Roman" w:hint="default"/>
      </w:rPr>
    </w:lvl>
    <w:lvl w:ilvl="7" w:tplc="DFDC9C18" w:tentative="1">
      <w:start w:val="1"/>
      <w:numFmt w:val="bullet"/>
      <w:lvlText w:val="•"/>
      <w:lvlJc w:val="left"/>
      <w:pPr>
        <w:tabs>
          <w:tab w:val="num" w:pos="5760"/>
        </w:tabs>
        <w:ind w:left="5760" w:hanging="360"/>
      </w:pPr>
      <w:rPr>
        <w:rFonts w:ascii="Times New Roman" w:hAnsi="Times New Roman" w:hint="default"/>
      </w:rPr>
    </w:lvl>
    <w:lvl w:ilvl="8" w:tplc="E51E5F5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D404CCD"/>
    <w:multiLevelType w:val="hybridMultilevel"/>
    <w:tmpl w:val="498296E6"/>
    <w:lvl w:ilvl="0" w:tplc="8A6CD7D6">
      <w:start w:val="1"/>
      <w:numFmt w:val="bullet"/>
      <w:lvlText w:val=""/>
      <w:lvlJc w:val="left"/>
      <w:pPr>
        <w:ind w:left="720" w:hanging="360"/>
      </w:pPr>
      <w:rPr>
        <w:rFonts w:ascii="Wingdings 3" w:hAnsi="Wingdings 3" w:hint="default"/>
        <w:color w:val="FFC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71627E0"/>
    <w:multiLevelType w:val="hybridMultilevel"/>
    <w:tmpl w:val="11E4A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A07FE6"/>
    <w:multiLevelType w:val="hybridMultilevel"/>
    <w:tmpl w:val="DEF01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E87996"/>
    <w:multiLevelType w:val="hybridMultilevel"/>
    <w:tmpl w:val="8C1C73F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D616D5"/>
    <w:multiLevelType w:val="hybridMultilevel"/>
    <w:tmpl w:val="E69A5B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E70215"/>
    <w:multiLevelType w:val="hybridMultilevel"/>
    <w:tmpl w:val="FF947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B87285"/>
    <w:multiLevelType w:val="hybridMultilevel"/>
    <w:tmpl w:val="646AB3B2"/>
    <w:lvl w:ilvl="0" w:tplc="8A6CD7D6">
      <w:start w:val="1"/>
      <w:numFmt w:val="bullet"/>
      <w:lvlText w:val=""/>
      <w:lvlJc w:val="left"/>
      <w:pPr>
        <w:ind w:left="720" w:hanging="360"/>
      </w:pPr>
      <w:rPr>
        <w:rFonts w:ascii="Wingdings 3" w:hAnsi="Wingdings 3" w:hint="default"/>
        <w:color w:val="FFC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1DC1D63"/>
    <w:multiLevelType w:val="hybridMultilevel"/>
    <w:tmpl w:val="0F1C1580"/>
    <w:lvl w:ilvl="0" w:tplc="8A6CD7D6">
      <w:start w:val="1"/>
      <w:numFmt w:val="bullet"/>
      <w:lvlText w:val=""/>
      <w:lvlJc w:val="left"/>
      <w:pPr>
        <w:ind w:left="720" w:hanging="360"/>
      </w:pPr>
      <w:rPr>
        <w:rFonts w:ascii="Wingdings 3" w:hAnsi="Wingdings 3" w:hint="default"/>
        <w:color w:val="FFC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5A606AF"/>
    <w:multiLevelType w:val="hybridMultilevel"/>
    <w:tmpl w:val="D29C3FAA"/>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D32A16"/>
    <w:multiLevelType w:val="hybridMultilevel"/>
    <w:tmpl w:val="9A2CFAB2"/>
    <w:lvl w:ilvl="0" w:tplc="8A6CD7D6">
      <w:start w:val="1"/>
      <w:numFmt w:val="bullet"/>
      <w:lvlText w:val=""/>
      <w:lvlJc w:val="left"/>
      <w:pPr>
        <w:ind w:left="720" w:hanging="360"/>
      </w:pPr>
      <w:rPr>
        <w:rFonts w:ascii="Wingdings 3" w:hAnsi="Wingdings 3"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EB26E7"/>
    <w:multiLevelType w:val="hybridMultilevel"/>
    <w:tmpl w:val="43B4B9B6"/>
    <w:lvl w:ilvl="0" w:tplc="F716C678">
      <w:start w:val="1"/>
      <w:numFmt w:val="bullet"/>
      <w:lvlText w:val="•"/>
      <w:lvlJc w:val="left"/>
      <w:pPr>
        <w:tabs>
          <w:tab w:val="num" w:pos="720"/>
        </w:tabs>
        <w:ind w:left="720" w:hanging="360"/>
      </w:pPr>
      <w:rPr>
        <w:rFonts w:ascii="Times New Roman" w:hAnsi="Times New Roman" w:hint="default"/>
      </w:rPr>
    </w:lvl>
    <w:lvl w:ilvl="1" w:tplc="8EA61344" w:tentative="1">
      <w:start w:val="1"/>
      <w:numFmt w:val="bullet"/>
      <w:lvlText w:val="•"/>
      <w:lvlJc w:val="left"/>
      <w:pPr>
        <w:tabs>
          <w:tab w:val="num" w:pos="1440"/>
        </w:tabs>
        <w:ind w:left="1440" w:hanging="360"/>
      </w:pPr>
      <w:rPr>
        <w:rFonts w:ascii="Times New Roman" w:hAnsi="Times New Roman" w:hint="default"/>
      </w:rPr>
    </w:lvl>
    <w:lvl w:ilvl="2" w:tplc="848A029A" w:tentative="1">
      <w:start w:val="1"/>
      <w:numFmt w:val="bullet"/>
      <w:lvlText w:val="•"/>
      <w:lvlJc w:val="left"/>
      <w:pPr>
        <w:tabs>
          <w:tab w:val="num" w:pos="2160"/>
        </w:tabs>
        <w:ind w:left="2160" w:hanging="360"/>
      </w:pPr>
      <w:rPr>
        <w:rFonts w:ascii="Times New Roman" w:hAnsi="Times New Roman" w:hint="default"/>
      </w:rPr>
    </w:lvl>
    <w:lvl w:ilvl="3" w:tplc="0AB072CA" w:tentative="1">
      <w:start w:val="1"/>
      <w:numFmt w:val="bullet"/>
      <w:lvlText w:val="•"/>
      <w:lvlJc w:val="left"/>
      <w:pPr>
        <w:tabs>
          <w:tab w:val="num" w:pos="2880"/>
        </w:tabs>
        <w:ind w:left="2880" w:hanging="360"/>
      </w:pPr>
      <w:rPr>
        <w:rFonts w:ascii="Times New Roman" w:hAnsi="Times New Roman" w:hint="default"/>
      </w:rPr>
    </w:lvl>
    <w:lvl w:ilvl="4" w:tplc="1AD027EC" w:tentative="1">
      <w:start w:val="1"/>
      <w:numFmt w:val="bullet"/>
      <w:lvlText w:val="•"/>
      <w:lvlJc w:val="left"/>
      <w:pPr>
        <w:tabs>
          <w:tab w:val="num" w:pos="3600"/>
        </w:tabs>
        <w:ind w:left="3600" w:hanging="360"/>
      </w:pPr>
      <w:rPr>
        <w:rFonts w:ascii="Times New Roman" w:hAnsi="Times New Roman" w:hint="default"/>
      </w:rPr>
    </w:lvl>
    <w:lvl w:ilvl="5" w:tplc="E1D6588A" w:tentative="1">
      <w:start w:val="1"/>
      <w:numFmt w:val="bullet"/>
      <w:lvlText w:val="•"/>
      <w:lvlJc w:val="left"/>
      <w:pPr>
        <w:tabs>
          <w:tab w:val="num" w:pos="4320"/>
        </w:tabs>
        <w:ind w:left="4320" w:hanging="360"/>
      </w:pPr>
      <w:rPr>
        <w:rFonts w:ascii="Times New Roman" w:hAnsi="Times New Roman" w:hint="default"/>
      </w:rPr>
    </w:lvl>
    <w:lvl w:ilvl="6" w:tplc="0434C1C4" w:tentative="1">
      <w:start w:val="1"/>
      <w:numFmt w:val="bullet"/>
      <w:lvlText w:val="•"/>
      <w:lvlJc w:val="left"/>
      <w:pPr>
        <w:tabs>
          <w:tab w:val="num" w:pos="5040"/>
        </w:tabs>
        <w:ind w:left="5040" w:hanging="360"/>
      </w:pPr>
      <w:rPr>
        <w:rFonts w:ascii="Times New Roman" w:hAnsi="Times New Roman" w:hint="default"/>
      </w:rPr>
    </w:lvl>
    <w:lvl w:ilvl="7" w:tplc="343C6178" w:tentative="1">
      <w:start w:val="1"/>
      <w:numFmt w:val="bullet"/>
      <w:lvlText w:val="•"/>
      <w:lvlJc w:val="left"/>
      <w:pPr>
        <w:tabs>
          <w:tab w:val="num" w:pos="5760"/>
        </w:tabs>
        <w:ind w:left="5760" w:hanging="360"/>
      </w:pPr>
      <w:rPr>
        <w:rFonts w:ascii="Times New Roman" w:hAnsi="Times New Roman" w:hint="default"/>
      </w:rPr>
    </w:lvl>
    <w:lvl w:ilvl="8" w:tplc="A9BAF468"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C8E0C0F"/>
    <w:multiLevelType w:val="hybridMultilevel"/>
    <w:tmpl w:val="7FD80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520E80"/>
    <w:multiLevelType w:val="hybridMultilevel"/>
    <w:tmpl w:val="D3C26216"/>
    <w:lvl w:ilvl="0" w:tplc="8A6CD7D6">
      <w:start w:val="1"/>
      <w:numFmt w:val="bullet"/>
      <w:lvlText w:val=""/>
      <w:lvlJc w:val="left"/>
      <w:pPr>
        <w:ind w:left="720" w:hanging="360"/>
      </w:pPr>
      <w:rPr>
        <w:rFonts w:ascii="Wingdings 3" w:hAnsi="Wingdings 3" w:hint="default"/>
        <w:color w:val="FFC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0B34787"/>
    <w:multiLevelType w:val="hybridMultilevel"/>
    <w:tmpl w:val="42E0E662"/>
    <w:lvl w:ilvl="0" w:tplc="8A6CD7D6">
      <w:start w:val="1"/>
      <w:numFmt w:val="bullet"/>
      <w:lvlText w:val=""/>
      <w:lvlJc w:val="left"/>
      <w:pPr>
        <w:ind w:left="720" w:hanging="360"/>
      </w:pPr>
      <w:rPr>
        <w:rFonts w:ascii="Wingdings 3" w:hAnsi="Wingdings 3" w:hint="default"/>
        <w:color w:val="FFC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9383896"/>
    <w:multiLevelType w:val="hybridMultilevel"/>
    <w:tmpl w:val="4328B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8"/>
  </w:num>
  <w:num w:numId="4">
    <w:abstractNumId w:val="10"/>
  </w:num>
  <w:num w:numId="5">
    <w:abstractNumId w:val="7"/>
  </w:num>
  <w:num w:numId="6">
    <w:abstractNumId w:val="16"/>
  </w:num>
  <w:num w:numId="7">
    <w:abstractNumId w:val="19"/>
  </w:num>
  <w:num w:numId="8">
    <w:abstractNumId w:val="13"/>
  </w:num>
  <w:num w:numId="9">
    <w:abstractNumId w:val="18"/>
  </w:num>
  <w:num w:numId="10">
    <w:abstractNumId w:val="11"/>
  </w:num>
  <w:num w:numId="11">
    <w:abstractNumId w:val="1"/>
  </w:num>
  <w:num w:numId="12">
    <w:abstractNumId w:val="3"/>
  </w:num>
  <w:num w:numId="13">
    <w:abstractNumId w:val="17"/>
  </w:num>
  <w:num w:numId="14">
    <w:abstractNumId w:val="12"/>
  </w:num>
  <w:num w:numId="15">
    <w:abstractNumId w:val="5"/>
  </w:num>
  <w:num w:numId="16">
    <w:abstractNumId w:val="9"/>
  </w:num>
  <w:num w:numId="17">
    <w:abstractNumId w:val="15"/>
  </w:num>
  <w:num w:numId="18">
    <w:abstractNumId w:val="0"/>
  </w:num>
  <w:num w:numId="19">
    <w:abstractNumId w:val="14"/>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720"/>
  <w:characterSpacingControl w:val="doNotCompress"/>
  <w:hdrShapeDefaults>
    <o:shapedefaults v:ext="edit" spidmax="133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DA3"/>
    <w:rsid w:val="000129E5"/>
    <w:rsid w:val="000230E1"/>
    <w:rsid w:val="00023B63"/>
    <w:rsid w:val="00024DE0"/>
    <w:rsid w:val="00030681"/>
    <w:rsid w:val="00031E1C"/>
    <w:rsid w:val="000368EB"/>
    <w:rsid w:val="00057CEB"/>
    <w:rsid w:val="00072866"/>
    <w:rsid w:val="00072E24"/>
    <w:rsid w:val="000A1DA3"/>
    <w:rsid w:val="000D3DE9"/>
    <w:rsid w:val="000E15FE"/>
    <w:rsid w:val="000F4212"/>
    <w:rsid w:val="000F7E8F"/>
    <w:rsid w:val="00100591"/>
    <w:rsid w:val="00130C31"/>
    <w:rsid w:val="00166D35"/>
    <w:rsid w:val="00166E87"/>
    <w:rsid w:val="00180245"/>
    <w:rsid w:val="00180C2A"/>
    <w:rsid w:val="001953B6"/>
    <w:rsid w:val="0019646A"/>
    <w:rsid w:val="001B1FF1"/>
    <w:rsid w:val="001B480F"/>
    <w:rsid w:val="001C2F14"/>
    <w:rsid w:val="001E1FDD"/>
    <w:rsid w:val="001F018B"/>
    <w:rsid w:val="00213A1B"/>
    <w:rsid w:val="00225649"/>
    <w:rsid w:val="002471FA"/>
    <w:rsid w:val="00256EA4"/>
    <w:rsid w:val="00261000"/>
    <w:rsid w:val="00275AE2"/>
    <w:rsid w:val="00280198"/>
    <w:rsid w:val="00282286"/>
    <w:rsid w:val="0028552B"/>
    <w:rsid w:val="002C00E1"/>
    <w:rsid w:val="002E0681"/>
    <w:rsid w:val="0032093B"/>
    <w:rsid w:val="003602A2"/>
    <w:rsid w:val="00361531"/>
    <w:rsid w:val="0036358E"/>
    <w:rsid w:val="00372875"/>
    <w:rsid w:val="003A15D3"/>
    <w:rsid w:val="003A4C8E"/>
    <w:rsid w:val="003D2763"/>
    <w:rsid w:val="003D4BCB"/>
    <w:rsid w:val="003F283C"/>
    <w:rsid w:val="0040446D"/>
    <w:rsid w:val="004226CC"/>
    <w:rsid w:val="004325FF"/>
    <w:rsid w:val="0045384B"/>
    <w:rsid w:val="00455C5C"/>
    <w:rsid w:val="00463D64"/>
    <w:rsid w:val="004746B9"/>
    <w:rsid w:val="004829C1"/>
    <w:rsid w:val="00486EC3"/>
    <w:rsid w:val="004974E8"/>
    <w:rsid w:val="004A1E62"/>
    <w:rsid w:val="004A3582"/>
    <w:rsid w:val="004B36D2"/>
    <w:rsid w:val="004B643D"/>
    <w:rsid w:val="004E558C"/>
    <w:rsid w:val="004E6ED9"/>
    <w:rsid w:val="004F3001"/>
    <w:rsid w:val="004F5A15"/>
    <w:rsid w:val="00501D3F"/>
    <w:rsid w:val="00520FD3"/>
    <w:rsid w:val="0053112F"/>
    <w:rsid w:val="00531E29"/>
    <w:rsid w:val="00534DE7"/>
    <w:rsid w:val="00536E8C"/>
    <w:rsid w:val="005558E4"/>
    <w:rsid w:val="00563FF4"/>
    <w:rsid w:val="00574A27"/>
    <w:rsid w:val="00574E30"/>
    <w:rsid w:val="00595BCF"/>
    <w:rsid w:val="005C082D"/>
    <w:rsid w:val="005D602D"/>
    <w:rsid w:val="005E1B5B"/>
    <w:rsid w:val="005E76BB"/>
    <w:rsid w:val="005E7E4E"/>
    <w:rsid w:val="00600F72"/>
    <w:rsid w:val="0063143C"/>
    <w:rsid w:val="00637F73"/>
    <w:rsid w:val="00644FD2"/>
    <w:rsid w:val="00665D1C"/>
    <w:rsid w:val="00690A05"/>
    <w:rsid w:val="006C03C8"/>
    <w:rsid w:val="006E193B"/>
    <w:rsid w:val="007211A6"/>
    <w:rsid w:val="00724482"/>
    <w:rsid w:val="00726B21"/>
    <w:rsid w:val="00726B64"/>
    <w:rsid w:val="00731412"/>
    <w:rsid w:val="00742262"/>
    <w:rsid w:val="00762063"/>
    <w:rsid w:val="00765050"/>
    <w:rsid w:val="00784187"/>
    <w:rsid w:val="00786A19"/>
    <w:rsid w:val="00797372"/>
    <w:rsid w:val="007B508A"/>
    <w:rsid w:val="007D65C3"/>
    <w:rsid w:val="00824B7E"/>
    <w:rsid w:val="008351A8"/>
    <w:rsid w:val="008743ED"/>
    <w:rsid w:val="00881FEB"/>
    <w:rsid w:val="00893B5C"/>
    <w:rsid w:val="00893F38"/>
    <w:rsid w:val="00895D14"/>
    <w:rsid w:val="008A3F41"/>
    <w:rsid w:val="008B289C"/>
    <w:rsid w:val="008B4E6B"/>
    <w:rsid w:val="008B5385"/>
    <w:rsid w:val="008C67A2"/>
    <w:rsid w:val="008D7992"/>
    <w:rsid w:val="009038E1"/>
    <w:rsid w:val="0091708F"/>
    <w:rsid w:val="00944B76"/>
    <w:rsid w:val="009569E6"/>
    <w:rsid w:val="00957E96"/>
    <w:rsid w:val="00961881"/>
    <w:rsid w:val="00970E25"/>
    <w:rsid w:val="0097111C"/>
    <w:rsid w:val="00975311"/>
    <w:rsid w:val="00984271"/>
    <w:rsid w:val="00993C66"/>
    <w:rsid w:val="009A0C58"/>
    <w:rsid w:val="009A6350"/>
    <w:rsid w:val="009B70EC"/>
    <w:rsid w:val="00A20553"/>
    <w:rsid w:val="00A272E9"/>
    <w:rsid w:val="00A33714"/>
    <w:rsid w:val="00A678FB"/>
    <w:rsid w:val="00A803FB"/>
    <w:rsid w:val="00A82736"/>
    <w:rsid w:val="00A95C84"/>
    <w:rsid w:val="00AB0240"/>
    <w:rsid w:val="00AB623B"/>
    <w:rsid w:val="00AC4CBD"/>
    <w:rsid w:val="00AD7C4F"/>
    <w:rsid w:val="00AE745A"/>
    <w:rsid w:val="00B003AE"/>
    <w:rsid w:val="00B111FD"/>
    <w:rsid w:val="00B62663"/>
    <w:rsid w:val="00B65135"/>
    <w:rsid w:val="00B913AE"/>
    <w:rsid w:val="00B96058"/>
    <w:rsid w:val="00B96B4E"/>
    <w:rsid w:val="00B97010"/>
    <w:rsid w:val="00B97FCB"/>
    <w:rsid w:val="00BB3365"/>
    <w:rsid w:val="00BB68B3"/>
    <w:rsid w:val="00BC4A7D"/>
    <w:rsid w:val="00BC56F3"/>
    <w:rsid w:val="00BE0DBC"/>
    <w:rsid w:val="00BE1F7F"/>
    <w:rsid w:val="00BE514F"/>
    <w:rsid w:val="00C021C7"/>
    <w:rsid w:val="00C14DF1"/>
    <w:rsid w:val="00C27579"/>
    <w:rsid w:val="00C3169E"/>
    <w:rsid w:val="00C33825"/>
    <w:rsid w:val="00C3665A"/>
    <w:rsid w:val="00C44D4D"/>
    <w:rsid w:val="00C63C25"/>
    <w:rsid w:val="00C77251"/>
    <w:rsid w:val="00CB41DC"/>
    <w:rsid w:val="00CC40F9"/>
    <w:rsid w:val="00CC45F4"/>
    <w:rsid w:val="00CD5BD0"/>
    <w:rsid w:val="00CD5CCF"/>
    <w:rsid w:val="00CF102E"/>
    <w:rsid w:val="00D0143C"/>
    <w:rsid w:val="00D34FC4"/>
    <w:rsid w:val="00D37586"/>
    <w:rsid w:val="00D70852"/>
    <w:rsid w:val="00D7148E"/>
    <w:rsid w:val="00D7207C"/>
    <w:rsid w:val="00D76473"/>
    <w:rsid w:val="00DA62CD"/>
    <w:rsid w:val="00DB0440"/>
    <w:rsid w:val="00DB17F9"/>
    <w:rsid w:val="00DC4410"/>
    <w:rsid w:val="00DD7661"/>
    <w:rsid w:val="00E131BD"/>
    <w:rsid w:val="00E16C23"/>
    <w:rsid w:val="00E77373"/>
    <w:rsid w:val="00ED6556"/>
    <w:rsid w:val="00EF65A9"/>
    <w:rsid w:val="00EF7358"/>
    <w:rsid w:val="00F12023"/>
    <w:rsid w:val="00F200C3"/>
    <w:rsid w:val="00F22FB7"/>
    <w:rsid w:val="00F34420"/>
    <w:rsid w:val="00F60A5B"/>
    <w:rsid w:val="00F65AF5"/>
    <w:rsid w:val="00F85C5D"/>
    <w:rsid w:val="00FB15BC"/>
    <w:rsid w:val="00FB313D"/>
    <w:rsid w:val="00FB38AB"/>
    <w:rsid w:val="00FC35B7"/>
    <w:rsid w:val="00FD478F"/>
    <w:rsid w:val="00FD50B1"/>
    <w:rsid w:val="00FE6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2CFE4FDF"/>
  <w15:docId w15:val="{3C5D7DA9-53B8-4E17-BDA5-D32E8F8F2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C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5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1531"/>
  </w:style>
  <w:style w:type="paragraph" w:styleId="Footer">
    <w:name w:val="footer"/>
    <w:basedOn w:val="Normal"/>
    <w:link w:val="FooterChar"/>
    <w:uiPriority w:val="99"/>
    <w:unhideWhenUsed/>
    <w:rsid w:val="003615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1531"/>
  </w:style>
  <w:style w:type="paragraph" w:styleId="BalloonText">
    <w:name w:val="Balloon Text"/>
    <w:basedOn w:val="Normal"/>
    <w:link w:val="BalloonTextChar"/>
    <w:uiPriority w:val="99"/>
    <w:semiHidden/>
    <w:unhideWhenUsed/>
    <w:rsid w:val="003615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531"/>
    <w:rPr>
      <w:rFonts w:ascii="Tahoma" w:hAnsi="Tahoma" w:cs="Tahoma"/>
      <w:sz w:val="16"/>
      <w:szCs w:val="16"/>
    </w:rPr>
  </w:style>
  <w:style w:type="table" w:styleId="TableGrid">
    <w:name w:val="Table Grid"/>
    <w:basedOn w:val="TableNormal"/>
    <w:uiPriority w:val="59"/>
    <w:rsid w:val="003615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7372"/>
    <w:rPr>
      <w:color w:val="0000FF"/>
      <w:u w:val="single"/>
    </w:rPr>
  </w:style>
  <w:style w:type="paragraph" w:styleId="ListParagraph">
    <w:name w:val="List Paragraph"/>
    <w:basedOn w:val="Normal"/>
    <w:link w:val="ListParagraphChar"/>
    <w:uiPriority w:val="34"/>
    <w:qFormat/>
    <w:rsid w:val="00797372"/>
    <w:pPr>
      <w:spacing w:after="0" w:line="280" w:lineRule="atLeast"/>
      <w:ind w:left="720"/>
      <w:contextualSpacing/>
    </w:pPr>
    <w:rPr>
      <w:rFonts w:ascii="Arial" w:hAnsi="Arial"/>
      <w:sz w:val="20"/>
    </w:rPr>
  </w:style>
  <w:style w:type="paragraph" w:customStyle="1" w:styleId="IFOAofficesubtitlesCoverstyles">
    <w:name w:val="IFOA office sub titles (Cover styles)"/>
    <w:basedOn w:val="Normal"/>
    <w:link w:val="IFOAofficesubtitlesCoverstylesChar"/>
    <w:uiPriority w:val="99"/>
    <w:rsid w:val="00A678FB"/>
    <w:pPr>
      <w:autoSpaceDE w:val="0"/>
      <w:autoSpaceDN w:val="0"/>
      <w:adjustRightInd w:val="0"/>
      <w:spacing w:before="113" w:after="57" w:line="250" w:lineRule="atLeast"/>
      <w:textAlignment w:val="center"/>
    </w:pPr>
    <w:rPr>
      <w:rFonts w:ascii="Gotham Bold" w:hAnsi="Gotham Bold" w:cs="Gotham Bold"/>
      <w:b/>
      <w:bCs/>
      <w:color w:val="FFFFFF"/>
      <w:sz w:val="19"/>
      <w:szCs w:val="19"/>
    </w:rPr>
  </w:style>
  <w:style w:type="paragraph" w:customStyle="1" w:styleId="IFOAaddresscontactdetailsCoverstyles">
    <w:name w:val="IFOA address &amp; contact details (Cover styles)"/>
    <w:basedOn w:val="Normal"/>
    <w:link w:val="IFOAaddresscontactdetailsCoverstylesChar"/>
    <w:uiPriority w:val="99"/>
    <w:rsid w:val="00A678FB"/>
    <w:pPr>
      <w:tabs>
        <w:tab w:val="left" w:pos="198"/>
      </w:tabs>
      <w:suppressAutoHyphens/>
      <w:autoSpaceDE w:val="0"/>
      <w:autoSpaceDN w:val="0"/>
      <w:adjustRightInd w:val="0"/>
      <w:spacing w:after="170" w:line="220" w:lineRule="atLeast"/>
      <w:textAlignment w:val="center"/>
    </w:pPr>
    <w:rPr>
      <w:rFonts w:ascii="Gotham Narrow Book" w:hAnsi="Gotham Narrow Book" w:cs="Gotham Narrow Book"/>
      <w:color w:val="FFFFFF"/>
      <w:sz w:val="17"/>
      <w:szCs w:val="17"/>
    </w:rPr>
  </w:style>
  <w:style w:type="character" w:customStyle="1" w:styleId="IFOAofficesubtitlesCoverstylesChar">
    <w:name w:val="IFOA office sub titles (Cover styles) Char"/>
    <w:basedOn w:val="DefaultParagraphFont"/>
    <w:link w:val="IFOAofficesubtitlesCoverstyles"/>
    <w:uiPriority w:val="99"/>
    <w:rsid w:val="00A678FB"/>
    <w:rPr>
      <w:rFonts w:ascii="Gotham Bold" w:eastAsiaTheme="minorEastAsia" w:hAnsi="Gotham Bold" w:cs="Gotham Bold"/>
      <w:b/>
      <w:bCs/>
      <w:color w:val="FFFFFF"/>
      <w:sz w:val="19"/>
      <w:szCs w:val="19"/>
      <w:lang w:eastAsia="en-GB"/>
    </w:rPr>
  </w:style>
  <w:style w:type="character" w:customStyle="1" w:styleId="IFOAaddresscontactdetailsCoverstylesChar">
    <w:name w:val="IFOA address &amp; contact details (Cover styles) Char"/>
    <w:basedOn w:val="DefaultParagraphFont"/>
    <w:link w:val="IFOAaddresscontactdetailsCoverstyles"/>
    <w:uiPriority w:val="99"/>
    <w:rsid w:val="00A678FB"/>
    <w:rPr>
      <w:rFonts w:ascii="Gotham Narrow Book" w:eastAsiaTheme="minorEastAsia" w:hAnsi="Gotham Narrow Book" w:cs="Gotham Narrow Book"/>
      <w:color w:val="FFFFFF"/>
      <w:sz w:val="17"/>
      <w:szCs w:val="17"/>
      <w:lang w:eastAsia="en-GB"/>
    </w:rPr>
  </w:style>
  <w:style w:type="paragraph" w:customStyle="1" w:styleId="CityName">
    <w:name w:val="City Name"/>
    <w:basedOn w:val="Normal"/>
    <w:link w:val="CityNameChar"/>
    <w:qFormat/>
    <w:rsid w:val="00A678FB"/>
    <w:pPr>
      <w:framePr w:hSpace="180" w:wrap="around" w:vAnchor="page" w:hAnchor="margin" w:x="398" w:y="3320"/>
      <w:autoSpaceDE w:val="0"/>
      <w:autoSpaceDN w:val="0"/>
      <w:adjustRightInd w:val="0"/>
      <w:spacing w:before="113" w:after="57" w:line="250" w:lineRule="atLeast"/>
      <w:textAlignment w:val="center"/>
    </w:pPr>
    <w:rPr>
      <w:rFonts w:ascii="Arial" w:hAnsi="Arial" w:cs="Arial"/>
      <w:b/>
      <w:bCs/>
      <w:color w:val="FFFFFF"/>
      <w:sz w:val="19"/>
      <w:szCs w:val="19"/>
    </w:rPr>
  </w:style>
  <w:style w:type="paragraph" w:customStyle="1" w:styleId="CityAddress">
    <w:name w:val="City Address"/>
    <w:basedOn w:val="Normal"/>
    <w:link w:val="CityAddressChar"/>
    <w:qFormat/>
    <w:rsid w:val="00A678FB"/>
    <w:pPr>
      <w:framePr w:hSpace="180" w:wrap="around" w:vAnchor="page" w:hAnchor="margin" w:x="398" w:y="3320"/>
      <w:tabs>
        <w:tab w:val="left" w:pos="198"/>
      </w:tabs>
      <w:suppressAutoHyphens/>
      <w:autoSpaceDE w:val="0"/>
      <w:autoSpaceDN w:val="0"/>
      <w:adjustRightInd w:val="0"/>
      <w:spacing w:after="170" w:line="220" w:lineRule="atLeast"/>
      <w:textAlignment w:val="center"/>
    </w:pPr>
    <w:rPr>
      <w:rFonts w:ascii="Arial" w:hAnsi="Arial" w:cs="Arial"/>
      <w:color w:val="FFFFFF"/>
      <w:sz w:val="17"/>
      <w:szCs w:val="17"/>
    </w:rPr>
  </w:style>
  <w:style w:type="character" w:customStyle="1" w:styleId="CityNameChar">
    <w:name w:val="City Name Char"/>
    <w:basedOn w:val="DefaultParagraphFont"/>
    <w:link w:val="CityName"/>
    <w:rsid w:val="00A678FB"/>
    <w:rPr>
      <w:rFonts w:ascii="Arial" w:eastAsiaTheme="minorEastAsia" w:hAnsi="Arial" w:cs="Arial"/>
      <w:b/>
      <w:bCs/>
      <w:color w:val="FFFFFF"/>
      <w:sz w:val="19"/>
      <w:szCs w:val="19"/>
      <w:lang w:eastAsia="en-GB"/>
    </w:rPr>
  </w:style>
  <w:style w:type="character" w:customStyle="1" w:styleId="CityAddressChar">
    <w:name w:val="City Address Char"/>
    <w:basedOn w:val="DefaultParagraphFont"/>
    <w:link w:val="CityAddress"/>
    <w:rsid w:val="00A678FB"/>
    <w:rPr>
      <w:rFonts w:ascii="Arial" w:eastAsiaTheme="minorEastAsia" w:hAnsi="Arial" w:cs="Arial"/>
      <w:color w:val="FFFFFF"/>
      <w:sz w:val="17"/>
      <w:szCs w:val="17"/>
      <w:lang w:eastAsia="en-GB"/>
    </w:rPr>
  </w:style>
  <w:style w:type="character" w:styleId="CommentReference">
    <w:name w:val="annotation reference"/>
    <w:uiPriority w:val="99"/>
    <w:rsid w:val="0032093B"/>
    <w:rPr>
      <w:sz w:val="16"/>
      <w:szCs w:val="16"/>
    </w:rPr>
  </w:style>
  <w:style w:type="paragraph" w:styleId="CommentText">
    <w:name w:val="annotation text"/>
    <w:basedOn w:val="Normal"/>
    <w:link w:val="CommentTextChar"/>
    <w:uiPriority w:val="99"/>
    <w:rsid w:val="0032093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32093B"/>
    <w:rPr>
      <w:rFonts w:ascii="Times New Roman" w:eastAsia="Times New Roman" w:hAnsi="Times New Roman" w:cs="Times New Roman"/>
      <w:sz w:val="20"/>
      <w:szCs w:val="20"/>
    </w:rPr>
  </w:style>
  <w:style w:type="paragraph" w:styleId="PlainText">
    <w:name w:val="Plain Text"/>
    <w:link w:val="PlainTextChar"/>
    <w:uiPriority w:val="99"/>
    <w:rsid w:val="00280198"/>
    <w:pPr>
      <w:pBdr>
        <w:top w:val="nil"/>
        <w:left w:val="nil"/>
        <w:bottom w:val="nil"/>
        <w:right w:val="nil"/>
        <w:between w:val="nil"/>
        <w:bar w:val="nil"/>
      </w:pBdr>
      <w:spacing w:after="0" w:line="240" w:lineRule="auto"/>
    </w:pPr>
    <w:rPr>
      <w:rFonts w:ascii="Consolas" w:eastAsia="Consolas" w:hAnsi="Consolas" w:cs="Consolas"/>
      <w:color w:val="000000"/>
      <w:sz w:val="21"/>
      <w:szCs w:val="21"/>
      <w:u w:color="000000"/>
      <w:bdr w:val="nil"/>
      <w:lang w:val="en-US"/>
    </w:rPr>
  </w:style>
  <w:style w:type="character" w:customStyle="1" w:styleId="PlainTextChar">
    <w:name w:val="Plain Text Char"/>
    <w:basedOn w:val="DefaultParagraphFont"/>
    <w:link w:val="PlainText"/>
    <w:uiPriority w:val="99"/>
    <w:rsid w:val="00280198"/>
    <w:rPr>
      <w:rFonts w:ascii="Consolas" w:eastAsia="Consolas" w:hAnsi="Consolas" w:cs="Consolas"/>
      <w:color w:val="000000"/>
      <w:sz w:val="21"/>
      <w:szCs w:val="21"/>
      <w:u w:color="000000"/>
      <w:bdr w:val="nil"/>
      <w:lang w:val="en-US"/>
    </w:rPr>
  </w:style>
  <w:style w:type="paragraph" w:styleId="CommentSubject">
    <w:name w:val="annotation subject"/>
    <w:basedOn w:val="CommentText"/>
    <w:next w:val="CommentText"/>
    <w:link w:val="CommentSubjectChar"/>
    <w:uiPriority w:val="99"/>
    <w:semiHidden/>
    <w:unhideWhenUsed/>
    <w:rsid w:val="00C63C25"/>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C63C25"/>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881F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1FEB"/>
    <w:rPr>
      <w:sz w:val="20"/>
      <w:szCs w:val="20"/>
    </w:rPr>
  </w:style>
  <w:style w:type="character" w:styleId="FootnoteReference">
    <w:name w:val="footnote reference"/>
    <w:basedOn w:val="DefaultParagraphFont"/>
    <w:uiPriority w:val="99"/>
    <w:semiHidden/>
    <w:unhideWhenUsed/>
    <w:rsid w:val="00881FEB"/>
    <w:rPr>
      <w:vertAlign w:val="superscript"/>
    </w:rPr>
  </w:style>
  <w:style w:type="paragraph" w:customStyle="1" w:styleId="Default">
    <w:name w:val="Default"/>
    <w:rsid w:val="006E193B"/>
    <w:pPr>
      <w:autoSpaceDE w:val="0"/>
      <w:autoSpaceDN w:val="0"/>
      <w:adjustRightInd w:val="0"/>
      <w:spacing w:after="0" w:line="240" w:lineRule="auto"/>
    </w:pPr>
    <w:rPr>
      <w:rFonts w:ascii="Verdana" w:eastAsiaTheme="minorHAnsi" w:hAnsi="Verdana" w:cs="Verdana"/>
      <w:color w:val="000000"/>
      <w:sz w:val="24"/>
      <w:szCs w:val="24"/>
      <w:lang w:eastAsia="en-US"/>
    </w:rPr>
  </w:style>
  <w:style w:type="character" w:customStyle="1" w:styleId="ListParagraphChar">
    <w:name w:val="List Paragraph Char"/>
    <w:basedOn w:val="DefaultParagraphFont"/>
    <w:link w:val="ListParagraph"/>
    <w:uiPriority w:val="34"/>
    <w:locked/>
    <w:rsid w:val="006E193B"/>
    <w:rPr>
      <w:rFonts w:ascii="Arial" w:hAnsi="Arial"/>
      <w:sz w:val="20"/>
    </w:rPr>
  </w:style>
  <w:style w:type="character" w:styleId="HTMLCite">
    <w:name w:val="HTML Cite"/>
    <w:basedOn w:val="DefaultParagraphFont"/>
    <w:uiPriority w:val="99"/>
    <w:semiHidden/>
    <w:unhideWhenUsed/>
    <w:rsid w:val="00BB68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144140">
      <w:bodyDiv w:val="1"/>
      <w:marLeft w:val="0"/>
      <w:marRight w:val="0"/>
      <w:marTop w:val="0"/>
      <w:marBottom w:val="0"/>
      <w:divBdr>
        <w:top w:val="none" w:sz="0" w:space="0" w:color="auto"/>
        <w:left w:val="none" w:sz="0" w:space="0" w:color="auto"/>
        <w:bottom w:val="none" w:sz="0" w:space="0" w:color="auto"/>
        <w:right w:val="none" w:sz="0" w:space="0" w:color="auto"/>
      </w:divBdr>
    </w:div>
    <w:div w:id="942689363">
      <w:bodyDiv w:val="1"/>
      <w:marLeft w:val="0"/>
      <w:marRight w:val="0"/>
      <w:marTop w:val="0"/>
      <w:marBottom w:val="0"/>
      <w:divBdr>
        <w:top w:val="none" w:sz="0" w:space="0" w:color="auto"/>
        <w:left w:val="none" w:sz="0" w:space="0" w:color="auto"/>
        <w:bottom w:val="none" w:sz="0" w:space="0" w:color="auto"/>
        <w:right w:val="none" w:sz="0" w:space="0" w:color="auto"/>
      </w:divBdr>
      <w:divsChild>
        <w:div w:id="1272006314">
          <w:marLeft w:val="432"/>
          <w:marRight w:val="0"/>
          <w:marTop w:val="240"/>
          <w:marBottom w:val="0"/>
          <w:divBdr>
            <w:top w:val="none" w:sz="0" w:space="0" w:color="auto"/>
            <w:left w:val="none" w:sz="0" w:space="0" w:color="auto"/>
            <w:bottom w:val="none" w:sz="0" w:space="0" w:color="auto"/>
            <w:right w:val="none" w:sz="0" w:space="0" w:color="auto"/>
          </w:divBdr>
        </w:div>
        <w:div w:id="1461849128">
          <w:marLeft w:val="432"/>
          <w:marRight w:val="0"/>
          <w:marTop w:val="240"/>
          <w:marBottom w:val="0"/>
          <w:divBdr>
            <w:top w:val="none" w:sz="0" w:space="0" w:color="auto"/>
            <w:left w:val="none" w:sz="0" w:space="0" w:color="auto"/>
            <w:bottom w:val="none" w:sz="0" w:space="0" w:color="auto"/>
            <w:right w:val="none" w:sz="0" w:space="0" w:color="auto"/>
          </w:divBdr>
        </w:div>
        <w:div w:id="1608194451">
          <w:marLeft w:val="432"/>
          <w:marRight w:val="0"/>
          <w:marTop w:val="240"/>
          <w:marBottom w:val="0"/>
          <w:divBdr>
            <w:top w:val="none" w:sz="0" w:space="0" w:color="auto"/>
            <w:left w:val="none" w:sz="0" w:space="0" w:color="auto"/>
            <w:bottom w:val="none" w:sz="0" w:space="0" w:color="auto"/>
            <w:right w:val="none" w:sz="0" w:space="0" w:color="auto"/>
          </w:divBdr>
        </w:div>
        <w:div w:id="1607693125">
          <w:marLeft w:val="432"/>
          <w:marRight w:val="0"/>
          <w:marTop w:val="240"/>
          <w:marBottom w:val="0"/>
          <w:divBdr>
            <w:top w:val="none" w:sz="0" w:space="0" w:color="auto"/>
            <w:left w:val="none" w:sz="0" w:space="0" w:color="auto"/>
            <w:bottom w:val="none" w:sz="0" w:space="0" w:color="auto"/>
            <w:right w:val="none" w:sz="0" w:space="0" w:color="auto"/>
          </w:divBdr>
        </w:div>
        <w:div w:id="1369381014">
          <w:marLeft w:val="432"/>
          <w:marRight w:val="0"/>
          <w:marTop w:val="240"/>
          <w:marBottom w:val="0"/>
          <w:divBdr>
            <w:top w:val="none" w:sz="0" w:space="0" w:color="auto"/>
            <w:left w:val="none" w:sz="0" w:space="0" w:color="auto"/>
            <w:bottom w:val="none" w:sz="0" w:space="0" w:color="auto"/>
            <w:right w:val="none" w:sz="0" w:space="0" w:color="auto"/>
          </w:divBdr>
        </w:div>
      </w:divsChild>
    </w:div>
    <w:div w:id="971906547">
      <w:bodyDiv w:val="1"/>
      <w:marLeft w:val="0"/>
      <w:marRight w:val="0"/>
      <w:marTop w:val="0"/>
      <w:marBottom w:val="0"/>
      <w:divBdr>
        <w:top w:val="none" w:sz="0" w:space="0" w:color="auto"/>
        <w:left w:val="none" w:sz="0" w:space="0" w:color="auto"/>
        <w:bottom w:val="none" w:sz="0" w:space="0" w:color="auto"/>
        <w:right w:val="none" w:sz="0" w:space="0" w:color="auto"/>
      </w:divBdr>
      <w:divsChild>
        <w:div w:id="266625564">
          <w:marLeft w:val="432"/>
          <w:marRight w:val="0"/>
          <w:marTop w:val="240"/>
          <w:marBottom w:val="0"/>
          <w:divBdr>
            <w:top w:val="none" w:sz="0" w:space="0" w:color="auto"/>
            <w:left w:val="none" w:sz="0" w:space="0" w:color="auto"/>
            <w:bottom w:val="none" w:sz="0" w:space="0" w:color="auto"/>
            <w:right w:val="none" w:sz="0" w:space="0" w:color="auto"/>
          </w:divBdr>
        </w:div>
        <w:div w:id="835338577">
          <w:marLeft w:val="432"/>
          <w:marRight w:val="0"/>
          <w:marTop w:val="240"/>
          <w:marBottom w:val="0"/>
          <w:divBdr>
            <w:top w:val="none" w:sz="0" w:space="0" w:color="auto"/>
            <w:left w:val="none" w:sz="0" w:space="0" w:color="auto"/>
            <w:bottom w:val="none" w:sz="0" w:space="0" w:color="auto"/>
            <w:right w:val="none" w:sz="0" w:space="0" w:color="auto"/>
          </w:divBdr>
        </w:div>
        <w:div w:id="413816875">
          <w:marLeft w:val="432"/>
          <w:marRight w:val="0"/>
          <w:marTop w:val="240"/>
          <w:marBottom w:val="0"/>
          <w:divBdr>
            <w:top w:val="none" w:sz="0" w:space="0" w:color="auto"/>
            <w:left w:val="none" w:sz="0" w:space="0" w:color="auto"/>
            <w:bottom w:val="none" w:sz="0" w:space="0" w:color="auto"/>
            <w:right w:val="none" w:sz="0" w:space="0" w:color="auto"/>
          </w:divBdr>
        </w:div>
        <w:div w:id="761144247">
          <w:marLeft w:val="432"/>
          <w:marRight w:val="0"/>
          <w:marTop w:val="240"/>
          <w:marBottom w:val="0"/>
          <w:divBdr>
            <w:top w:val="none" w:sz="0" w:space="0" w:color="auto"/>
            <w:left w:val="none" w:sz="0" w:space="0" w:color="auto"/>
            <w:bottom w:val="none" w:sz="0" w:space="0" w:color="auto"/>
            <w:right w:val="none" w:sz="0" w:space="0" w:color="auto"/>
          </w:divBdr>
        </w:div>
        <w:div w:id="1689024869">
          <w:marLeft w:val="432"/>
          <w:marRight w:val="0"/>
          <w:marTop w:val="240"/>
          <w:marBottom w:val="0"/>
          <w:divBdr>
            <w:top w:val="none" w:sz="0" w:space="0" w:color="auto"/>
            <w:left w:val="none" w:sz="0" w:space="0" w:color="auto"/>
            <w:bottom w:val="none" w:sz="0" w:space="0" w:color="auto"/>
            <w:right w:val="none" w:sz="0" w:space="0" w:color="auto"/>
          </w:divBdr>
        </w:div>
      </w:divsChild>
    </w:div>
    <w:div w:id="1349524434">
      <w:bodyDiv w:val="1"/>
      <w:marLeft w:val="0"/>
      <w:marRight w:val="0"/>
      <w:marTop w:val="0"/>
      <w:marBottom w:val="0"/>
      <w:divBdr>
        <w:top w:val="none" w:sz="0" w:space="0" w:color="auto"/>
        <w:left w:val="none" w:sz="0" w:space="0" w:color="auto"/>
        <w:bottom w:val="none" w:sz="0" w:space="0" w:color="auto"/>
        <w:right w:val="none" w:sz="0" w:space="0" w:color="auto"/>
      </w:divBdr>
    </w:div>
    <w:div w:id="1395735099">
      <w:bodyDiv w:val="1"/>
      <w:marLeft w:val="0"/>
      <w:marRight w:val="0"/>
      <w:marTop w:val="0"/>
      <w:marBottom w:val="0"/>
      <w:divBdr>
        <w:top w:val="none" w:sz="0" w:space="0" w:color="auto"/>
        <w:left w:val="none" w:sz="0" w:space="0" w:color="auto"/>
        <w:bottom w:val="none" w:sz="0" w:space="0" w:color="auto"/>
        <w:right w:val="none" w:sz="0" w:space="0" w:color="auto"/>
      </w:divBdr>
      <w:divsChild>
        <w:div w:id="624194187">
          <w:marLeft w:val="432"/>
          <w:marRight w:val="0"/>
          <w:marTop w:val="240"/>
          <w:marBottom w:val="0"/>
          <w:divBdr>
            <w:top w:val="none" w:sz="0" w:space="0" w:color="auto"/>
            <w:left w:val="none" w:sz="0" w:space="0" w:color="auto"/>
            <w:bottom w:val="none" w:sz="0" w:space="0" w:color="auto"/>
            <w:right w:val="none" w:sz="0" w:space="0" w:color="auto"/>
          </w:divBdr>
        </w:div>
        <w:div w:id="632639808">
          <w:marLeft w:val="432"/>
          <w:marRight w:val="0"/>
          <w:marTop w:val="240"/>
          <w:marBottom w:val="0"/>
          <w:divBdr>
            <w:top w:val="none" w:sz="0" w:space="0" w:color="auto"/>
            <w:left w:val="none" w:sz="0" w:space="0" w:color="auto"/>
            <w:bottom w:val="none" w:sz="0" w:space="0" w:color="auto"/>
            <w:right w:val="none" w:sz="0" w:space="0" w:color="auto"/>
          </w:divBdr>
        </w:div>
        <w:div w:id="29885510">
          <w:marLeft w:val="432"/>
          <w:marRight w:val="0"/>
          <w:marTop w:val="240"/>
          <w:marBottom w:val="0"/>
          <w:divBdr>
            <w:top w:val="none" w:sz="0" w:space="0" w:color="auto"/>
            <w:left w:val="none" w:sz="0" w:space="0" w:color="auto"/>
            <w:bottom w:val="none" w:sz="0" w:space="0" w:color="auto"/>
            <w:right w:val="none" w:sz="0" w:space="0" w:color="auto"/>
          </w:divBdr>
        </w:div>
        <w:div w:id="1914580445">
          <w:marLeft w:val="432"/>
          <w:marRight w:val="0"/>
          <w:marTop w:val="240"/>
          <w:marBottom w:val="0"/>
          <w:divBdr>
            <w:top w:val="none" w:sz="0" w:space="0" w:color="auto"/>
            <w:left w:val="none" w:sz="0" w:space="0" w:color="auto"/>
            <w:bottom w:val="none" w:sz="0" w:space="0" w:color="auto"/>
            <w:right w:val="none" w:sz="0" w:space="0" w:color="auto"/>
          </w:divBdr>
        </w:div>
        <w:div w:id="1004547514">
          <w:marLeft w:val="432"/>
          <w:marRight w:val="0"/>
          <w:marTop w:val="240"/>
          <w:marBottom w:val="0"/>
          <w:divBdr>
            <w:top w:val="none" w:sz="0" w:space="0" w:color="auto"/>
            <w:left w:val="none" w:sz="0" w:space="0" w:color="auto"/>
            <w:bottom w:val="none" w:sz="0" w:space="0" w:color="auto"/>
            <w:right w:val="none" w:sz="0" w:space="0" w:color="auto"/>
          </w:divBdr>
        </w:div>
      </w:divsChild>
    </w:div>
    <w:div w:id="1441339160">
      <w:bodyDiv w:val="1"/>
      <w:marLeft w:val="0"/>
      <w:marRight w:val="0"/>
      <w:marTop w:val="0"/>
      <w:marBottom w:val="0"/>
      <w:divBdr>
        <w:top w:val="none" w:sz="0" w:space="0" w:color="auto"/>
        <w:left w:val="none" w:sz="0" w:space="0" w:color="auto"/>
        <w:bottom w:val="none" w:sz="0" w:space="0" w:color="auto"/>
        <w:right w:val="none" w:sz="0" w:space="0" w:color="auto"/>
      </w:divBdr>
    </w:div>
    <w:div w:id="1683435115">
      <w:bodyDiv w:val="1"/>
      <w:marLeft w:val="0"/>
      <w:marRight w:val="0"/>
      <w:marTop w:val="0"/>
      <w:marBottom w:val="0"/>
      <w:divBdr>
        <w:top w:val="none" w:sz="0" w:space="0" w:color="auto"/>
        <w:left w:val="none" w:sz="0" w:space="0" w:color="auto"/>
        <w:bottom w:val="none" w:sz="0" w:space="0" w:color="auto"/>
        <w:right w:val="none" w:sz="0" w:space="0" w:color="auto"/>
      </w:divBdr>
    </w:div>
    <w:div w:id="1693720828">
      <w:bodyDiv w:val="1"/>
      <w:marLeft w:val="0"/>
      <w:marRight w:val="0"/>
      <w:marTop w:val="0"/>
      <w:marBottom w:val="0"/>
      <w:divBdr>
        <w:top w:val="none" w:sz="0" w:space="0" w:color="auto"/>
        <w:left w:val="none" w:sz="0" w:space="0" w:color="auto"/>
        <w:bottom w:val="none" w:sz="0" w:space="0" w:color="auto"/>
        <w:right w:val="none" w:sz="0" w:space="0" w:color="auto"/>
      </w:divBdr>
      <w:divsChild>
        <w:div w:id="69160124">
          <w:marLeft w:val="0"/>
          <w:marRight w:val="0"/>
          <w:marTop w:val="0"/>
          <w:marBottom w:val="0"/>
          <w:divBdr>
            <w:top w:val="none" w:sz="0" w:space="0" w:color="auto"/>
            <w:left w:val="none" w:sz="0" w:space="0" w:color="auto"/>
            <w:bottom w:val="none" w:sz="0" w:space="0" w:color="auto"/>
            <w:right w:val="none" w:sz="0" w:space="0" w:color="auto"/>
          </w:divBdr>
          <w:divsChild>
            <w:div w:id="1025399921">
              <w:marLeft w:val="0"/>
              <w:marRight w:val="0"/>
              <w:marTop w:val="0"/>
              <w:marBottom w:val="0"/>
              <w:divBdr>
                <w:top w:val="none" w:sz="0" w:space="0" w:color="auto"/>
                <w:left w:val="none" w:sz="0" w:space="0" w:color="auto"/>
                <w:bottom w:val="none" w:sz="0" w:space="0" w:color="auto"/>
                <w:right w:val="none" w:sz="0" w:space="0" w:color="auto"/>
              </w:divBdr>
              <w:divsChild>
                <w:div w:id="1980525333">
                  <w:marLeft w:val="0"/>
                  <w:marRight w:val="0"/>
                  <w:marTop w:val="0"/>
                  <w:marBottom w:val="0"/>
                  <w:divBdr>
                    <w:top w:val="none" w:sz="0" w:space="0" w:color="auto"/>
                    <w:left w:val="none" w:sz="0" w:space="0" w:color="auto"/>
                    <w:bottom w:val="none" w:sz="0" w:space="0" w:color="auto"/>
                    <w:right w:val="none" w:sz="0" w:space="0" w:color="auto"/>
                  </w:divBdr>
                  <w:divsChild>
                    <w:div w:id="1876889124">
                      <w:marLeft w:val="0"/>
                      <w:marRight w:val="0"/>
                      <w:marTop w:val="45"/>
                      <w:marBottom w:val="0"/>
                      <w:divBdr>
                        <w:top w:val="none" w:sz="0" w:space="0" w:color="auto"/>
                        <w:left w:val="none" w:sz="0" w:space="0" w:color="auto"/>
                        <w:bottom w:val="none" w:sz="0" w:space="0" w:color="auto"/>
                        <w:right w:val="none" w:sz="0" w:space="0" w:color="auto"/>
                      </w:divBdr>
                      <w:divsChild>
                        <w:div w:id="109862288">
                          <w:marLeft w:val="0"/>
                          <w:marRight w:val="0"/>
                          <w:marTop w:val="0"/>
                          <w:marBottom w:val="0"/>
                          <w:divBdr>
                            <w:top w:val="none" w:sz="0" w:space="0" w:color="auto"/>
                            <w:left w:val="none" w:sz="0" w:space="0" w:color="auto"/>
                            <w:bottom w:val="none" w:sz="0" w:space="0" w:color="auto"/>
                            <w:right w:val="none" w:sz="0" w:space="0" w:color="auto"/>
                          </w:divBdr>
                          <w:divsChild>
                            <w:div w:id="1497724299">
                              <w:marLeft w:val="2070"/>
                              <w:marRight w:val="3960"/>
                              <w:marTop w:val="0"/>
                              <w:marBottom w:val="0"/>
                              <w:divBdr>
                                <w:top w:val="none" w:sz="0" w:space="0" w:color="auto"/>
                                <w:left w:val="none" w:sz="0" w:space="0" w:color="auto"/>
                                <w:bottom w:val="none" w:sz="0" w:space="0" w:color="auto"/>
                                <w:right w:val="none" w:sz="0" w:space="0" w:color="auto"/>
                              </w:divBdr>
                              <w:divsChild>
                                <w:div w:id="1627156423">
                                  <w:marLeft w:val="0"/>
                                  <w:marRight w:val="0"/>
                                  <w:marTop w:val="0"/>
                                  <w:marBottom w:val="0"/>
                                  <w:divBdr>
                                    <w:top w:val="none" w:sz="0" w:space="0" w:color="auto"/>
                                    <w:left w:val="none" w:sz="0" w:space="0" w:color="auto"/>
                                    <w:bottom w:val="none" w:sz="0" w:space="0" w:color="auto"/>
                                    <w:right w:val="none" w:sz="0" w:space="0" w:color="auto"/>
                                  </w:divBdr>
                                  <w:divsChild>
                                    <w:div w:id="581257751">
                                      <w:marLeft w:val="0"/>
                                      <w:marRight w:val="0"/>
                                      <w:marTop w:val="0"/>
                                      <w:marBottom w:val="0"/>
                                      <w:divBdr>
                                        <w:top w:val="none" w:sz="0" w:space="0" w:color="auto"/>
                                        <w:left w:val="none" w:sz="0" w:space="0" w:color="auto"/>
                                        <w:bottom w:val="none" w:sz="0" w:space="0" w:color="auto"/>
                                        <w:right w:val="none" w:sz="0" w:space="0" w:color="auto"/>
                                      </w:divBdr>
                                      <w:divsChild>
                                        <w:div w:id="339966158">
                                          <w:marLeft w:val="0"/>
                                          <w:marRight w:val="0"/>
                                          <w:marTop w:val="0"/>
                                          <w:marBottom w:val="0"/>
                                          <w:divBdr>
                                            <w:top w:val="none" w:sz="0" w:space="0" w:color="auto"/>
                                            <w:left w:val="none" w:sz="0" w:space="0" w:color="auto"/>
                                            <w:bottom w:val="none" w:sz="0" w:space="0" w:color="auto"/>
                                            <w:right w:val="none" w:sz="0" w:space="0" w:color="auto"/>
                                          </w:divBdr>
                                          <w:divsChild>
                                            <w:div w:id="856114752">
                                              <w:marLeft w:val="0"/>
                                              <w:marRight w:val="0"/>
                                              <w:marTop w:val="90"/>
                                              <w:marBottom w:val="0"/>
                                              <w:divBdr>
                                                <w:top w:val="none" w:sz="0" w:space="0" w:color="auto"/>
                                                <w:left w:val="none" w:sz="0" w:space="0" w:color="auto"/>
                                                <w:bottom w:val="none" w:sz="0" w:space="0" w:color="auto"/>
                                                <w:right w:val="none" w:sz="0" w:space="0" w:color="auto"/>
                                              </w:divBdr>
                                              <w:divsChild>
                                                <w:div w:id="990794562">
                                                  <w:marLeft w:val="0"/>
                                                  <w:marRight w:val="0"/>
                                                  <w:marTop w:val="0"/>
                                                  <w:marBottom w:val="0"/>
                                                  <w:divBdr>
                                                    <w:top w:val="none" w:sz="0" w:space="0" w:color="auto"/>
                                                    <w:left w:val="none" w:sz="0" w:space="0" w:color="auto"/>
                                                    <w:bottom w:val="none" w:sz="0" w:space="0" w:color="auto"/>
                                                    <w:right w:val="none" w:sz="0" w:space="0" w:color="auto"/>
                                                  </w:divBdr>
                                                  <w:divsChild>
                                                    <w:div w:id="2011716065">
                                                      <w:marLeft w:val="0"/>
                                                      <w:marRight w:val="0"/>
                                                      <w:marTop w:val="0"/>
                                                      <w:marBottom w:val="0"/>
                                                      <w:divBdr>
                                                        <w:top w:val="none" w:sz="0" w:space="0" w:color="auto"/>
                                                        <w:left w:val="none" w:sz="0" w:space="0" w:color="auto"/>
                                                        <w:bottom w:val="none" w:sz="0" w:space="0" w:color="auto"/>
                                                        <w:right w:val="none" w:sz="0" w:space="0" w:color="auto"/>
                                                      </w:divBdr>
                                                      <w:divsChild>
                                                        <w:div w:id="928543398">
                                                          <w:marLeft w:val="0"/>
                                                          <w:marRight w:val="0"/>
                                                          <w:marTop w:val="0"/>
                                                          <w:marBottom w:val="0"/>
                                                          <w:divBdr>
                                                            <w:top w:val="none" w:sz="0" w:space="0" w:color="auto"/>
                                                            <w:left w:val="none" w:sz="0" w:space="0" w:color="auto"/>
                                                            <w:bottom w:val="none" w:sz="0" w:space="0" w:color="auto"/>
                                                            <w:right w:val="none" w:sz="0" w:space="0" w:color="auto"/>
                                                          </w:divBdr>
                                                          <w:divsChild>
                                                            <w:div w:id="131141831">
                                                              <w:marLeft w:val="0"/>
                                                              <w:marRight w:val="0"/>
                                                              <w:marTop w:val="0"/>
                                                              <w:marBottom w:val="390"/>
                                                              <w:divBdr>
                                                                <w:top w:val="none" w:sz="0" w:space="0" w:color="auto"/>
                                                                <w:left w:val="none" w:sz="0" w:space="0" w:color="auto"/>
                                                                <w:bottom w:val="none" w:sz="0" w:space="0" w:color="auto"/>
                                                                <w:right w:val="none" w:sz="0" w:space="0" w:color="auto"/>
                                                              </w:divBdr>
                                                              <w:divsChild>
                                                                <w:div w:id="852303781">
                                                                  <w:marLeft w:val="0"/>
                                                                  <w:marRight w:val="0"/>
                                                                  <w:marTop w:val="0"/>
                                                                  <w:marBottom w:val="0"/>
                                                                  <w:divBdr>
                                                                    <w:top w:val="none" w:sz="0" w:space="0" w:color="auto"/>
                                                                    <w:left w:val="none" w:sz="0" w:space="0" w:color="auto"/>
                                                                    <w:bottom w:val="none" w:sz="0" w:space="0" w:color="auto"/>
                                                                    <w:right w:val="none" w:sz="0" w:space="0" w:color="auto"/>
                                                                  </w:divBdr>
                                                                  <w:divsChild>
                                                                    <w:div w:id="1932280084">
                                                                      <w:marLeft w:val="0"/>
                                                                      <w:marRight w:val="0"/>
                                                                      <w:marTop w:val="0"/>
                                                                      <w:marBottom w:val="0"/>
                                                                      <w:divBdr>
                                                                        <w:top w:val="none" w:sz="0" w:space="0" w:color="auto"/>
                                                                        <w:left w:val="none" w:sz="0" w:space="0" w:color="auto"/>
                                                                        <w:bottom w:val="none" w:sz="0" w:space="0" w:color="auto"/>
                                                                        <w:right w:val="none" w:sz="0" w:space="0" w:color="auto"/>
                                                                      </w:divBdr>
                                                                      <w:divsChild>
                                                                        <w:div w:id="1410154023">
                                                                          <w:marLeft w:val="0"/>
                                                                          <w:marRight w:val="0"/>
                                                                          <w:marTop w:val="0"/>
                                                                          <w:marBottom w:val="0"/>
                                                                          <w:divBdr>
                                                                            <w:top w:val="none" w:sz="0" w:space="0" w:color="auto"/>
                                                                            <w:left w:val="none" w:sz="0" w:space="0" w:color="auto"/>
                                                                            <w:bottom w:val="none" w:sz="0" w:space="0" w:color="auto"/>
                                                                            <w:right w:val="none" w:sz="0" w:space="0" w:color="auto"/>
                                                                          </w:divBdr>
                                                                          <w:divsChild>
                                                                            <w:div w:id="1340042944">
                                                                              <w:marLeft w:val="0"/>
                                                                              <w:marRight w:val="0"/>
                                                                              <w:marTop w:val="0"/>
                                                                              <w:marBottom w:val="0"/>
                                                                              <w:divBdr>
                                                                                <w:top w:val="none" w:sz="0" w:space="0" w:color="auto"/>
                                                                                <w:left w:val="none" w:sz="0" w:space="0" w:color="auto"/>
                                                                                <w:bottom w:val="none" w:sz="0" w:space="0" w:color="auto"/>
                                                                                <w:right w:val="none" w:sz="0" w:space="0" w:color="auto"/>
                                                                              </w:divBdr>
                                                                              <w:divsChild>
                                                                                <w:div w:id="83888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0935332">
      <w:bodyDiv w:val="1"/>
      <w:marLeft w:val="0"/>
      <w:marRight w:val="0"/>
      <w:marTop w:val="0"/>
      <w:marBottom w:val="0"/>
      <w:divBdr>
        <w:top w:val="none" w:sz="0" w:space="0" w:color="auto"/>
        <w:left w:val="none" w:sz="0" w:space="0" w:color="auto"/>
        <w:bottom w:val="none" w:sz="0" w:space="0" w:color="auto"/>
        <w:right w:val="none" w:sz="0" w:space="0" w:color="auto"/>
      </w:divBdr>
      <w:divsChild>
        <w:div w:id="409691996">
          <w:marLeft w:val="0"/>
          <w:marRight w:val="0"/>
          <w:marTop w:val="0"/>
          <w:marBottom w:val="0"/>
          <w:divBdr>
            <w:top w:val="none" w:sz="0" w:space="0" w:color="auto"/>
            <w:left w:val="none" w:sz="0" w:space="0" w:color="auto"/>
            <w:bottom w:val="none" w:sz="0" w:space="0" w:color="auto"/>
            <w:right w:val="none" w:sz="0" w:space="0" w:color="auto"/>
          </w:divBdr>
          <w:divsChild>
            <w:div w:id="1871649207">
              <w:marLeft w:val="0"/>
              <w:marRight w:val="0"/>
              <w:marTop w:val="0"/>
              <w:marBottom w:val="0"/>
              <w:divBdr>
                <w:top w:val="none" w:sz="0" w:space="0" w:color="auto"/>
                <w:left w:val="none" w:sz="0" w:space="0" w:color="auto"/>
                <w:bottom w:val="none" w:sz="0" w:space="0" w:color="auto"/>
                <w:right w:val="none" w:sz="0" w:space="0" w:color="auto"/>
              </w:divBdr>
              <w:divsChild>
                <w:div w:id="1895003214">
                  <w:marLeft w:val="0"/>
                  <w:marRight w:val="0"/>
                  <w:marTop w:val="0"/>
                  <w:marBottom w:val="0"/>
                  <w:divBdr>
                    <w:top w:val="none" w:sz="0" w:space="0" w:color="auto"/>
                    <w:left w:val="none" w:sz="0" w:space="0" w:color="auto"/>
                    <w:bottom w:val="none" w:sz="0" w:space="0" w:color="auto"/>
                    <w:right w:val="none" w:sz="0" w:space="0" w:color="auto"/>
                  </w:divBdr>
                  <w:divsChild>
                    <w:div w:id="2079814407">
                      <w:marLeft w:val="0"/>
                      <w:marRight w:val="0"/>
                      <w:marTop w:val="48"/>
                      <w:marBottom w:val="0"/>
                      <w:divBdr>
                        <w:top w:val="none" w:sz="0" w:space="0" w:color="auto"/>
                        <w:left w:val="none" w:sz="0" w:space="0" w:color="auto"/>
                        <w:bottom w:val="none" w:sz="0" w:space="0" w:color="auto"/>
                        <w:right w:val="none" w:sz="0" w:space="0" w:color="auto"/>
                      </w:divBdr>
                      <w:divsChild>
                        <w:div w:id="733816868">
                          <w:marLeft w:val="0"/>
                          <w:marRight w:val="0"/>
                          <w:marTop w:val="0"/>
                          <w:marBottom w:val="0"/>
                          <w:divBdr>
                            <w:top w:val="none" w:sz="0" w:space="0" w:color="auto"/>
                            <w:left w:val="none" w:sz="0" w:space="0" w:color="auto"/>
                            <w:bottom w:val="none" w:sz="0" w:space="0" w:color="auto"/>
                            <w:right w:val="none" w:sz="0" w:space="0" w:color="auto"/>
                          </w:divBdr>
                          <w:divsChild>
                            <w:div w:id="1426226302">
                              <w:marLeft w:val="2208"/>
                              <w:marRight w:val="4224"/>
                              <w:marTop w:val="0"/>
                              <w:marBottom w:val="0"/>
                              <w:divBdr>
                                <w:top w:val="none" w:sz="0" w:space="0" w:color="auto"/>
                                <w:left w:val="none" w:sz="0" w:space="0" w:color="auto"/>
                                <w:bottom w:val="none" w:sz="0" w:space="0" w:color="auto"/>
                                <w:right w:val="none" w:sz="0" w:space="0" w:color="auto"/>
                              </w:divBdr>
                              <w:divsChild>
                                <w:div w:id="1368606370">
                                  <w:marLeft w:val="0"/>
                                  <w:marRight w:val="0"/>
                                  <w:marTop w:val="0"/>
                                  <w:marBottom w:val="0"/>
                                  <w:divBdr>
                                    <w:top w:val="none" w:sz="0" w:space="0" w:color="auto"/>
                                    <w:left w:val="none" w:sz="0" w:space="0" w:color="auto"/>
                                    <w:bottom w:val="none" w:sz="0" w:space="0" w:color="auto"/>
                                    <w:right w:val="none" w:sz="0" w:space="0" w:color="auto"/>
                                  </w:divBdr>
                                  <w:divsChild>
                                    <w:div w:id="737870907">
                                      <w:marLeft w:val="0"/>
                                      <w:marRight w:val="0"/>
                                      <w:marTop w:val="0"/>
                                      <w:marBottom w:val="0"/>
                                      <w:divBdr>
                                        <w:top w:val="none" w:sz="0" w:space="0" w:color="auto"/>
                                        <w:left w:val="none" w:sz="0" w:space="0" w:color="auto"/>
                                        <w:bottom w:val="none" w:sz="0" w:space="0" w:color="auto"/>
                                        <w:right w:val="none" w:sz="0" w:space="0" w:color="auto"/>
                                      </w:divBdr>
                                      <w:divsChild>
                                        <w:div w:id="46804799">
                                          <w:marLeft w:val="0"/>
                                          <w:marRight w:val="0"/>
                                          <w:marTop w:val="0"/>
                                          <w:marBottom w:val="0"/>
                                          <w:divBdr>
                                            <w:top w:val="none" w:sz="0" w:space="0" w:color="auto"/>
                                            <w:left w:val="none" w:sz="0" w:space="0" w:color="auto"/>
                                            <w:bottom w:val="none" w:sz="0" w:space="0" w:color="auto"/>
                                            <w:right w:val="none" w:sz="0" w:space="0" w:color="auto"/>
                                          </w:divBdr>
                                          <w:divsChild>
                                            <w:div w:id="636645207">
                                              <w:marLeft w:val="0"/>
                                              <w:marRight w:val="0"/>
                                              <w:marTop w:val="96"/>
                                              <w:marBottom w:val="0"/>
                                              <w:divBdr>
                                                <w:top w:val="none" w:sz="0" w:space="0" w:color="auto"/>
                                                <w:left w:val="none" w:sz="0" w:space="0" w:color="auto"/>
                                                <w:bottom w:val="none" w:sz="0" w:space="0" w:color="auto"/>
                                                <w:right w:val="none" w:sz="0" w:space="0" w:color="auto"/>
                                              </w:divBdr>
                                              <w:divsChild>
                                                <w:div w:id="1877157968">
                                                  <w:marLeft w:val="0"/>
                                                  <w:marRight w:val="0"/>
                                                  <w:marTop w:val="0"/>
                                                  <w:marBottom w:val="0"/>
                                                  <w:divBdr>
                                                    <w:top w:val="none" w:sz="0" w:space="0" w:color="auto"/>
                                                    <w:left w:val="none" w:sz="0" w:space="0" w:color="auto"/>
                                                    <w:bottom w:val="none" w:sz="0" w:space="0" w:color="auto"/>
                                                    <w:right w:val="none" w:sz="0" w:space="0" w:color="auto"/>
                                                  </w:divBdr>
                                                  <w:divsChild>
                                                    <w:div w:id="921718188">
                                                      <w:marLeft w:val="0"/>
                                                      <w:marRight w:val="0"/>
                                                      <w:marTop w:val="0"/>
                                                      <w:marBottom w:val="0"/>
                                                      <w:divBdr>
                                                        <w:top w:val="none" w:sz="0" w:space="0" w:color="auto"/>
                                                        <w:left w:val="none" w:sz="0" w:space="0" w:color="auto"/>
                                                        <w:bottom w:val="none" w:sz="0" w:space="0" w:color="auto"/>
                                                        <w:right w:val="none" w:sz="0" w:space="0" w:color="auto"/>
                                                      </w:divBdr>
                                                      <w:divsChild>
                                                        <w:div w:id="884946569">
                                                          <w:marLeft w:val="0"/>
                                                          <w:marRight w:val="0"/>
                                                          <w:marTop w:val="0"/>
                                                          <w:marBottom w:val="0"/>
                                                          <w:divBdr>
                                                            <w:top w:val="none" w:sz="0" w:space="0" w:color="auto"/>
                                                            <w:left w:val="none" w:sz="0" w:space="0" w:color="auto"/>
                                                            <w:bottom w:val="none" w:sz="0" w:space="0" w:color="auto"/>
                                                            <w:right w:val="none" w:sz="0" w:space="0" w:color="auto"/>
                                                          </w:divBdr>
                                                          <w:divsChild>
                                                            <w:div w:id="232855461">
                                                              <w:marLeft w:val="0"/>
                                                              <w:marRight w:val="0"/>
                                                              <w:marTop w:val="0"/>
                                                              <w:marBottom w:val="416"/>
                                                              <w:divBdr>
                                                                <w:top w:val="none" w:sz="0" w:space="0" w:color="auto"/>
                                                                <w:left w:val="none" w:sz="0" w:space="0" w:color="auto"/>
                                                                <w:bottom w:val="none" w:sz="0" w:space="0" w:color="auto"/>
                                                                <w:right w:val="none" w:sz="0" w:space="0" w:color="auto"/>
                                                              </w:divBdr>
                                                              <w:divsChild>
                                                                <w:div w:id="1635716244">
                                                                  <w:marLeft w:val="0"/>
                                                                  <w:marRight w:val="0"/>
                                                                  <w:marTop w:val="0"/>
                                                                  <w:marBottom w:val="0"/>
                                                                  <w:divBdr>
                                                                    <w:top w:val="none" w:sz="0" w:space="0" w:color="auto"/>
                                                                    <w:left w:val="none" w:sz="0" w:space="0" w:color="auto"/>
                                                                    <w:bottom w:val="none" w:sz="0" w:space="0" w:color="auto"/>
                                                                    <w:right w:val="none" w:sz="0" w:space="0" w:color="auto"/>
                                                                  </w:divBdr>
                                                                  <w:divsChild>
                                                                    <w:div w:id="1897541861">
                                                                      <w:marLeft w:val="0"/>
                                                                      <w:marRight w:val="0"/>
                                                                      <w:marTop w:val="0"/>
                                                                      <w:marBottom w:val="0"/>
                                                                      <w:divBdr>
                                                                        <w:top w:val="none" w:sz="0" w:space="0" w:color="auto"/>
                                                                        <w:left w:val="none" w:sz="0" w:space="0" w:color="auto"/>
                                                                        <w:bottom w:val="none" w:sz="0" w:space="0" w:color="auto"/>
                                                                        <w:right w:val="none" w:sz="0" w:space="0" w:color="auto"/>
                                                                      </w:divBdr>
                                                                      <w:divsChild>
                                                                        <w:div w:id="189690043">
                                                                          <w:marLeft w:val="0"/>
                                                                          <w:marRight w:val="0"/>
                                                                          <w:marTop w:val="0"/>
                                                                          <w:marBottom w:val="0"/>
                                                                          <w:divBdr>
                                                                            <w:top w:val="none" w:sz="0" w:space="0" w:color="auto"/>
                                                                            <w:left w:val="none" w:sz="0" w:space="0" w:color="auto"/>
                                                                            <w:bottom w:val="none" w:sz="0" w:space="0" w:color="auto"/>
                                                                            <w:right w:val="none" w:sz="0" w:space="0" w:color="auto"/>
                                                                          </w:divBdr>
                                                                          <w:divsChild>
                                                                            <w:div w:id="1857109634">
                                                                              <w:marLeft w:val="0"/>
                                                                              <w:marRight w:val="0"/>
                                                                              <w:marTop w:val="0"/>
                                                                              <w:marBottom w:val="0"/>
                                                                              <w:divBdr>
                                                                                <w:top w:val="none" w:sz="0" w:space="0" w:color="auto"/>
                                                                                <w:left w:val="none" w:sz="0" w:space="0" w:color="auto"/>
                                                                                <w:bottom w:val="none" w:sz="0" w:space="0" w:color="auto"/>
                                                                                <w:right w:val="none" w:sz="0" w:space="0" w:color="auto"/>
                                                                              </w:divBdr>
                                                                              <w:divsChild>
                                                                                <w:div w:id="1390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1035686">
      <w:bodyDiv w:val="1"/>
      <w:marLeft w:val="0"/>
      <w:marRight w:val="0"/>
      <w:marTop w:val="0"/>
      <w:marBottom w:val="0"/>
      <w:divBdr>
        <w:top w:val="none" w:sz="0" w:space="0" w:color="auto"/>
        <w:left w:val="none" w:sz="0" w:space="0" w:color="auto"/>
        <w:bottom w:val="none" w:sz="0" w:space="0" w:color="auto"/>
        <w:right w:val="none" w:sz="0" w:space="0" w:color="auto"/>
      </w:divBdr>
      <w:divsChild>
        <w:div w:id="12267510">
          <w:marLeft w:val="432"/>
          <w:marRight w:val="0"/>
          <w:marTop w:val="240"/>
          <w:marBottom w:val="0"/>
          <w:divBdr>
            <w:top w:val="none" w:sz="0" w:space="0" w:color="auto"/>
            <w:left w:val="none" w:sz="0" w:space="0" w:color="auto"/>
            <w:bottom w:val="none" w:sz="0" w:space="0" w:color="auto"/>
            <w:right w:val="none" w:sz="0" w:space="0" w:color="auto"/>
          </w:divBdr>
        </w:div>
        <w:div w:id="1217089175">
          <w:marLeft w:val="432"/>
          <w:marRight w:val="0"/>
          <w:marTop w:val="240"/>
          <w:marBottom w:val="0"/>
          <w:divBdr>
            <w:top w:val="none" w:sz="0" w:space="0" w:color="auto"/>
            <w:left w:val="none" w:sz="0" w:space="0" w:color="auto"/>
            <w:bottom w:val="none" w:sz="0" w:space="0" w:color="auto"/>
            <w:right w:val="none" w:sz="0" w:space="0" w:color="auto"/>
          </w:divBdr>
        </w:div>
        <w:div w:id="930359046">
          <w:marLeft w:val="432"/>
          <w:marRight w:val="0"/>
          <w:marTop w:val="240"/>
          <w:marBottom w:val="0"/>
          <w:divBdr>
            <w:top w:val="none" w:sz="0" w:space="0" w:color="auto"/>
            <w:left w:val="none" w:sz="0" w:space="0" w:color="auto"/>
            <w:bottom w:val="none" w:sz="0" w:space="0" w:color="auto"/>
            <w:right w:val="none" w:sz="0" w:space="0" w:color="auto"/>
          </w:divBdr>
        </w:div>
        <w:div w:id="1015767605">
          <w:marLeft w:val="432"/>
          <w:marRight w:val="0"/>
          <w:marTop w:val="240"/>
          <w:marBottom w:val="0"/>
          <w:divBdr>
            <w:top w:val="none" w:sz="0" w:space="0" w:color="auto"/>
            <w:left w:val="none" w:sz="0" w:space="0" w:color="auto"/>
            <w:bottom w:val="none" w:sz="0" w:space="0" w:color="auto"/>
            <w:right w:val="none" w:sz="0" w:space="0" w:color="auto"/>
          </w:divBdr>
        </w:div>
        <w:div w:id="1591963565">
          <w:marLeft w:val="432"/>
          <w:marRight w:val="0"/>
          <w:marTop w:val="240"/>
          <w:marBottom w:val="0"/>
          <w:divBdr>
            <w:top w:val="none" w:sz="0" w:space="0" w:color="auto"/>
            <w:left w:val="none" w:sz="0" w:space="0" w:color="auto"/>
            <w:bottom w:val="none" w:sz="0" w:space="0" w:color="auto"/>
            <w:right w:val="none" w:sz="0" w:space="0" w:color="auto"/>
          </w:divBdr>
        </w:div>
      </w:divsChild>
    </w:div>
    <w:div w:id="2002847832">
      <w:bodyDiv w:val="1"/>
      <w:marLeft w:val="0"/>
      <w:marRight w:val="0"/>
      <w:marTop w:val="0"/>
      <w:marBottom w:val="0"/>
      <w:divBdr>
        <w:top w:val="none" w:sz="0" w:space="0" w:color="auto"/>
        <w:left w:val="none" w:sz="0" w:space="0" w:color="auto"/>
        <w:bottom w:val="none" w:sz="0" w:space="0" w:color="auto"/>
        <w:right w:val="none" w:sz="0" w:space="0" w:color="auto"/>
      </w:divBdr>
      <w:divsChild>
        <w:div w:id="1908343818">
          <w:marLeft w:val="0"/>
          <w:marRight w:val="0"/>
          <w:marTop w:val="0"/>
          <w:marBottom w:val="0"/>
          <w:divBdr>
            <w:top w:val="none" w:sz="0" w:space="0" w:color="auto"/>
            <w:left w:val="none" w:sz="0" w:space="0" w:color="auto"/>
            <w:bottom w:val="none" w:sz="0" w:space="0" w:color="auto"/>
            <w:right w:val="none" w:sz="0" w:space="0" w:color="auto"/>
          </w:divBdr>
          <w:divsChild>
            <w:div w:id="918253192">
              <w:marLeft w:val="0"/>
              <w:marRight w:val="0"/>
              <w:marTop w:val="0"/>
              <w:marBottom w:val="0"/>
              <w:divBdr>
                <w:top w:val="none" w:sz="0" w:space="0" w:color="auto"/>
                <w:left w:val="none" w:sz="0" w:space="0" w:color="auto"/>
                <w:bottom w:val="none" w:sz="0" w:space="0" w:color="auto"/>
                <w:right w:val="none" w:sz="0" w:space="0" w:color="auto"/>
              </w:divBdr>
              <w:divsChild>
                <w:div w:id="1263226143">
                  <w:marLeft w:val="0"/>
                  <w:marRight w:val="0"/>
                  <w:marTop w:val="0"/>
                  <w:marBottom w:val="0"/>
                  <w:divBdr>
                    <w:top w:val="none" w:sz="0" w:space="0" w:color="auto"/>
                    <w:left w:val="none" w:sz="0" w:space="0" w:color="auto"/>
                    <w:bottom w:val="none" w:sz="0" w:space="0" w:color="auto"/>
                    <w:right w:val="none" w:sz="0" w:space="0" w:color="auto"/>
                  </w:divBdr>
                  <w:divsChild>
                    <w:div w:id="1157921379">
                      <w:marLeft w:val="0"/>
                      <w:marRight w:val="0"/>
                      <w:marTop w:val="48"/>
                      <w:marBottom w:val="0"/>
                      <w:divBdr>
                        <w:top w:val="none" w:sz="0" w:space="0" w:color="auto"/>
                        <w:left w:val="none" w:sz="0" w:space="0" w:color="auto"/>
                        <w:bottom w:val="none" w:sz="0" w:space="0" w:color="auto"/>
                        <w:right w:val="none" w:sz="0" w:space="0" w:color="auto"/>
                      </w:divBdr>
                      <w:divsChild>
                        <w:div w:id="759957977">
                          <w:marLeft w:val="0"/>
                          <w:marRight w:val="0"/>
                          <w:marTop w:val="0"/>
                          <w:marBottom w:val="0"/>
                          <w:divBdr>
                            <w:top w:val="none" w:sz="0" w:space="0" w:color="auto"/>
                            <w:left w:val="none" w:sz="0" w:space="0" w:color="auto"/>
                            <w:bottom w:val="none" w:sz="0" w:space="0" w:color="auto"/>
                            <w:right w:val="none" w:sz="0" w:space="0" w:color="auto"/>
                          </w:divBdr>
                          <w:divsChild>
                            <w:div w:id="574357668">
                              <w:marLeft w:val="2208"/>
                              <w:marRight w:val="4224"/>
                              <w:marTop w:val="0"/>
                              <w:marBottom w:val="0"/>
                              <w:divBdr>
                                <w:top w:val="none" w:sz="0" w:space="0" w:color="auto"/>
                                <w:left w:val="none" w:sz="0" w:space="0" w:color="auto"/>
                                <w:bottom w:val="none" w:sz="0" w:space="0" w:color="auto"/>
                                <w:right w:val="none" w:sz="0" w:space="0" w:color="auto"/>
                              </w:divBdr>
                              <w:divsChild>
                                <w:div w:id="1852335659">
                                  <w:marLeft w:val="0"/>
                                  <w:marRight w:val="0"/>
                                  <w:marTop w:val="0"/>
                                  <w:marBottom w:val="0"/>
                                  <w:divBdr>
                                    <w:top w:val="none" w:sz="0" w:space="0" w:color="auto"/>
                                    <w:left w:val="none" w:sz="0" w:space="0" w:color="auto"/>
                                    <w:bottom w:val="none" w:sz="0" w:space="0" w:color="auto"/>
                                    <w:right w:val="none" w:sz="0" w:space="0" w:color="auto"/>
                                  </w:divBdr>
                                  <w:divsChild>
                                    <w:div w:id="844437498">
                                      <w:marLeft w:val="0"/>
                                      <w:marRight w:val="0"/>
                                      <w:marTop w:val="0"/>
                                      <w:marBottom w:val="0"/>
                                      <w:divBdr>
                                        <w:top w:val="none" w:sz="0" w:space="0" w:color="auto"/>
                                        <w:left w:val="none" w:sz="0" w:space="0" w:color="auto"/>
                                        <w:bottom w:val="none" w:sz="0" w:space="0" w:color="auto"/>
                                        <w:right w:val="none" w:sz="0" w:space="0" w:color="auto"/>
                                      </w:divBdr>
                                      <w:divsChild>
                                        <w:div w:id="238948818">
                                          <w:marLeft w:val="0"/>
                                          <w:marRight w:val="0"/>
                                          <w:marTop w:val="0"/>
                                          <w:marBottom w:val="0"/>
                                          <w:divBdr>
                                            <w:top w:val="none" w:sz="0" w:space="0" w:color="auto"/>
                                            <w:left w:val="none" w:sz="0" w:space="0" w:color="auto"/>
                                            <w:bottom w:val="none" w:sz="0" w:space="0" w:color="auto"/>
                                            <w:right w:val="none" w:sz="0" w:space="0" w:color="auto"/>
                                          </w:divBdr>
                                          <w:divsChild>
                                            <w:div w:id="830097213">
                                              <w:marLeft w:val="0"/>
                                              <w:marRight w:val="0"/>
                                              <w:marTop w:val="96"/>
                                              <w:marBottom w:val="0"/>
                                              <w:divBdr>
                                                <w:top w:val="none" w:sz="0" w:space="0" w:color="auto"/>
                                                <w:left w:val="none" w:sz="0" w:space="0" w:color="auto"/>
                                                <w:bottom w:val="none" w:sz="0" w:space="0" w:color="auto"/>
                                                <w:right w:val="none" w:sz="0" w:space="0" w:color="auto"/>
                                              </w:divBdr>
                                              <w:divsChild>
                                                <w:div w:id="521282867">
                                                  <w:marLeft w:val="0"/>
                                                  <w:marRight w:val="0"/>
                                                  <w:marTop w:val="0"/>
                                                  <w:marBottom w:val="0"/>
                                                  <w:divBdr>
                                                    <w:top w:val="none" w:sz="0" w:space="0" w:color="auto"/>
                                                    <w:left w:val="none" w:sz="0" w:space="0" w:color="auto"/>
                                                    <w:bottom w:val="none" w:sz="0" w:space="0" w:color="auto"/>
                                                    <w:right w:val="none" w:sz="0" w:space="0" w:color="auto"/>
                                                  </w:divBdr>
                                                  <w:divsChild>
                                                    <w:div w:id="511646759">
                                                      <w:marLeft w:val="0"/>
                                                      <w:marRight w:val="0"/>
                                                      <w:marTop w:val="0"/>
                                                      <w:marBottom w:val="0"/>
                                                      <w:divBdr>
                                                        <w:top w:val="none" w:sz="0" w:space="0" w:color="auto"/>
                                                        <w:left w:val="none" w:sz="0" w:space="0" w:color="auto"/>
                                                        <w:bottom w:val="none" w:sz="0" w:space="0" w:color="auto"/>
                                                        <w:right w:val="none" w:sz="0" w:space="0" w:color="auto"/>
                                                      </w:divBdr>
                                                      <w:divsChild>
                                                        <w:div w:id="67771448">
                                                          <w:marLeft w:val="0"/>
                                                          <w:marRight w:val="0"/>
                                                          <w:marTop w:val="0"/>
                                                          <w:marBottom w:val="0"/>
                                                          <w:divBdr>
                                                            <w:top w:val="none" w:sz="0" w:space="0" w:color="auto"/>
                                                            <w:left w:val="none" w:sz="0" w:space="0" w:color="auto"/>
                                                            <w:bottom w:val="none" w:sz="0" w:space="0" w:color="auto"/>
                                                            <w:right w:val="none" w:sz="0" w:space="0" w:color="auto"/>
                                                          </w:divBdr>
                                                          <w:divsChild>
                                                            <w:div w:id="636879866">
                                                              <w:marLeft w:val="0"/>
                                                              <w:marRight w:val="0"/>
                                                              <w:marTop w:val="0"/>
                                                              <w:marBottom w:val="416"/>
                                                              <w:divBdr>
                                                                <w:top w:val="none" w:sz="0" w:space="0" w:color="auto"/>
                                                                <w:left w:val="none" w:sz="0" w:space="0" w:color="auto"/>
                                                                <w:bottom w:val="none" w:sz="0" w:space="0" w:color="auto"/>
                                                                <w:right w:val="none" w:sz="0" w:space="0" w:color="auto"/>
                                                              </w:divBdr>
                                                              <w:divsChild>
                                                                <w:div w:id="1100489698">
                                                                  <w:marLeft w:val="0"/>
                                                                  <w:marRight w:val="0"/>
                                                                  <w:marTop w:val="0"/>
                                                                  <w:marBottom w:val="0"/>
                                                                  <w:divBdr>
                                                                    <w:top w:val="none" w:sz="0" w:space="0" w:color="auto"/>
                                                                    <w:left w:val="none" w:sz="0" w:space="0" w:color="auto"/>
                                                                    <w:bottom w:val="none" w:sz="0" w:space="0" w:color="auto"/>
                                                                    <w:right w:val="none" w:sz="0" w:space="0" w:color="auto"/>
                                                                  </w:divBdr>
                                                                  <w:divsChild>
                                                                    <w:div w:id="516238467">
                                                                      <w:marLeft w:val="0"/>
                                                                      <w:marRight w:val="0"/>
                                                                      <w:marTop w:val="0"/>
                                                                      <w:marBottom w:val="0"/>
                                                                      <w:divBdr>
                                                                        <w:top w:val="none" w:sz="0" w:space="0" w:color="auto"/>
                                                                        <w:left w:val="none" w:sz="0" w:space="0" w:color="auto"/>
                                                                        <w:bottom w:val="none" w:sz="0" w:space="0" w:color="auto"/>
                                                                        <w:right w:val="none" w:sz="0" w:space="0" w:color="auto"/>
                                                                      </w:divBdr>
                                                                      <w:divsChild>
                                                                        <w:div w:id="1568031002">
                                                                          <w:marLeft w:val="0"/>
                                                                          <w:marRight w:val="0"/>
                                                                          <w:marTop w:val="0"/>
                                                                          <w:marBottom w:val="0"/>
                                                                          <w:divBdr>
                                                                            <w:top w:val="none" w:sz="0" w:space="0" w:color="auto"/>
                                                                            <w:left w:val="none" w:sz="0" w:space="0" w:color="auto"/>
                                                                            <w:bottom w:val="none" w:sz="0" w:space="0" w:color="auto"/>
                                                                            <w:right w:val="none" w:sz="0" w:space="0" w:color="auto"/>
                                                                          </w:divBdr>
                                                                          <w:divsChild>
                                                                            <w:div w:id="2020042258">
                                                                              <w:marLeft w:val="0"/>
                                                                              <w:marRight w:val="0"/>
                                                                              <w:marTop w:val="0"/>
                                                                              <w:marBottom w:val="0"/>
                                                                              <w:divBdr>
                                                                                <w:top w:val="none" w:sz="0" w:space="0" w:color="auto"/>
                                                                                <w:left w:val="none" w:sz="0" w:space="0" w:color="auto"/>
                                                                                <w:bottom w:val="none" w:sz="0" w:space="0" w:color="auto"/>
                                                                                <w:right w:val="none" w:sz="0" w:space="0" w:color="auto"/>
                                                                              </w:divBdr>
                                                                              <w:divsChild>
                                                                                <w:div w:id="73578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8.jpe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4.jpe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im.Bateman@mazars.co.uk"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http://www.actuaries.org.uk" TargetMode="Externa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rbarab\Local%20Settings\Temporary%20Internet%20Files\Content.Outlook\WWBJBH3K\IFoA_sessional_document_cov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4220529A26A4C98B9158451A7B005C3"/>
        <w:category>
          <w:name w:val="General"/>
          <w:gallery w:val="placeholder"/>
        </w:category>
        <w:types>
          <w:type w:val="bbPlcHdr"/>
        </w:types>
        <w:behaviors>
          <w:behavior w:val="content"/>
        </w:behaviors>
        <w:guid w:val="{DF14F064-6D51-4AA7-8F14-2F51BCBCE63A}"/>
      </w:docPartPr>
      <w:docPartBody>
        <w:p w:rsidR="00DF7D8E" w:rsidRDefault="00DF7D8E" w:rsidP="00DF7D8E">
          <w:pPr>
            <w:pStyle w:val="04220529A26A4C98B9158451A7B005C3"/>
          </w:pPr>
          <w:r w:rsidRPr="00630ABB">
            <w:rPr>
              <w:rStyle w:val="PlaceholderText"/>
            </w:rPr>
            <w:t>Click here to enter text.</w:t>
          </w:r>
        </w:p>
      </w:docPartBody>
    </w:docPart>
    <w:docPart>
      <w:docPartPr>
        <w:name w:val="2FABFCEE81884429AAED73B2AB12ED5F"/>
        <w:category>
          <w:name w:val="General"/>
          <w:gallery w:val="placeholder"/>
        </w:category>
        <w:types>
          <w:type w:val="bbPlcHdr"/>
        </w:types>
        <w:behaviors>
          <w:behavior w:val="content"/>
        </w:behaviors>
        <w:guid w:val="{2BB22E97-BB09-4E08-B33E-1E44879BF8BF}"/>
      </w:docPartPr>
      <w:docPartBody>
        <w:p w:rsidR="00DF7D8E" w:rsidRDefault="00DF7D8E" w:rsidP="00DF7D8E">
          <w:pPr>
            <w:pStyle w:val="2FABFCEE81884429AAED73B2AB12ED5F"/>
          </w:pPr>
          <w:r w:rsidRPr="00630ABB">
            <w:rPr>
              <w:rStyle w:val="PlaceholderText"/>
            </w:rPr>
            <w:t>Click here to enter text.</w:t>
          </w:r>
        </w:p>
      </w:docPartBody>
    </w:docPart>
    <w:docPart>
      <w:docPartPr>
        <w:name w:val="9DCC4610B2C44AB6959CFEF949F9A71A"/>
        <w:category>
          <w:name w:val="General"/>
          <w:gallery w:val="placeholder"/>
        </w:category>
        <w:types>
          <w:type w:val="bbPlcHdr"/>
        </w:types>
        <w:behaviors>
          <w:behavior w:val="content"/>
        </w:behaviors>
        <w:guid w:val="{761B155C-9704-444E-889D-AA5502A44E67}"/>
      </w:docPartPr>
      <w:docPartBody>
        <w:p w:rsidR="00DF7D8E" w:rsidRDefault="00DF7D8E" w:rsidP="00DF7D8E">
          <w:pPr>
            <w:pStyle w:val="9DCC4610B2C44AB6959CFEF949F9A71A"/>
          </w:pPr>
          <w:r w:rsidRPr="00630ABB">
            <w:rPr>
              <w:rStyle w:val="PlaceholderText"/>
            </w:rPr>
            <w:t>Click here to enter text.</w:t>
          </w:r>
        </w:p>
      </w:docPartBody>
    </w:docPart>
    <w:docPart>
      <w:docPartPr>
        <w:name w:val="1A823897A8634221817F8672A9EE452D"/>
        <w:category>
          <w:name w:val="General"/>
          <w:gallery w:val="placeholder"/>
        </w:category>
        <w:types>
          <w:type w:val="bbPlcHdr"/>
        </w:types>
        <w:behaviors>
          <w:behavior w:val="content"/>
        </w:behaviors>
        <w:guid w:val="{EED460E0-C5A3-44CF-B99D-42D83868501F}"/>
      </w:docPartPr>
      <w:docPartBody>
        <w:p w:rsidR="00352EC8" w:rsidRDefault="00A43489" w:rsidP="00A43489">
          <w:pPr>
            <w:pStyle w:val="1A823897A8634221817F8672A9EE452D"/>
          </w:pPr>
          <w:r w:rsidRPr="00630ABB">
            <w:rPr>
              <w:rStyle w:val="PlaceholderText"/>
            </w:rPr>
            <w:t>Click here to enter text.</w:t>
          </w:r>
        </w:p>
      </w:docPartBody>
    </w:docPart>
    <w:docPart>
      <w:docPartPr>
        <w:name w:val="5DD4A1ED7E624F4D845F1BEA6527FCD1"/>
        <w:category>
          <w:name w:val="General"/>
          <w:gallery w:val="placeholder"/>
        </w:category>
        <w:types>
          <w:type w:val="bbPlcHdr"/>
        </w:types>
        <w:behaviors>
          <w:behavior w:val="content"/>
        </w:behaviors>
        <w:guid w:val="{05ABCF85-D33F-4803-B0D4-28F778169327}"/>
      </w:docPartPr>
      <w:docPartBody>
        <w:p w:rsidR="00A76097" w:rsidRDefault="004046F0" w:rsidP="004046F0">
          <w:pPr>
            <w:pStyle w:val="5DD4A1ED7E624F4D845F1BEA6527FCD1"/>
          </w:pPr>
          <w:r w:rsidRPr="00630ABB">
            <w:rPr>
              <w:rStyle w:val="PlaceholderText"/>
            </w:rPr>
            <w:t>Click here to enter text.</w:t>
          </w:r>
        </w:p>
      </w:docPartBody>
    </w:docPart>
    <w:docPart>
      <w:docPartPr>
        <w:name w:val="E3BC7B9E8ADB4E5D92840A70F2CF8144"/>
        <w:category>
          <w:name w:val="General"/>
          <w:gallery w:val="placeholder"/>
        </w:category>
        <w:types>
          <w:type w:val="bbPlcHdr"/>
        </w:types>
        <w:behaviors>
          <w:behavior w:val="content"/>
        </w:behaviors>
        <w:guid w:val="{80C73F58-2961-4605-A6BB-E6A4E134947B}"/>
      </w:docPartPr>
      <w:docPartBody>
        <w:p w:rsidR="00081EF1" w:rsidRDefault="00C73E49" w:rsidP="00C73E49">
          <w:pPr>
            <w:pStyle w:val="E3BC7B9E8ADB4E5D92840A70F2CF8144"/>
          </w:pPr>
          <w:r w:rsidRPr="00630ABB">
            <w:rPr>
              <w:rStyle w:val="PlaceholderText"/>
            </w:rPr>
            <w:t>Click here to enter text.</w:t>
          </w:r>
        </w:p>
      </w:docPartBody>
    </w:docPart>
    <w:docPart>
      <w:docPartPr>
        <w:name w:val="3F3A06AE52B04077B9963DC432BC4C08"/>
        <w:category>
          <w:name w:val="General"/>
          <w:gallery w:val="placeholder"/>
        </w:category>
        <w:types>
          <w:type w:val="bbPlcHdr"/>
        </w:types>
        <w:behaviors>
          <w:behavior w:val="content"/>
        </w:behaviors>
        <w:guid w:val="{09CE1CEB-7B41-42D1-8528-B782285F5EA4}"/>
      </w:docPartPr>
      <w:docPartBody>
        <w:p w:rsidR="00081EF1" w:rsidRDefault="00C73E49" w:rsidP="00C73E49">
          <w:pPr>
            <w:pStyle w:val="3F3A06AE52B04077B9963DC432BC4C08"/>
          </w:pPr>
          <w:r w:rsidRPr="00630AB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tham Bold">
    <w:panose1 w:val="00000000000000000000"/>
    <w:charset w:val="00"/>
    <w:family w:val="modern"/>
    <w:notTrueType/>
    <w:pitch w:val="variable"/>
    <w:sig w:usb0="A10000FF" w:usb1="4000005B" w:usb2="00000000" w:usb3="00000000" w:csb0="0000009B" w:csb1="00000000"/>
  </w:font>
  <w:font w:name="Gotham Narrow Book">
    <w:altName w:val="Gotham Narrow Book"/>
    <w:panose1 w:val="00000000000000000000"/>
    <w:charset w:val="00"/>
    <w:family w:val="modern"/>
    <w:notTrueType/>
    <w:pitch w:val="variable"/>
    <w:sig w:usb0="A00000FF" w:usb1="4000004A" w:usb2="00000000" w:usb3="00000000" w:csb0="0000009B"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2"/>
  </w:compat>
  <w:rsids>
    <w:rsidRoot w:val="00DF7D8E"/>
    <w:rsid w:val="00081EF1"/>
    <w:rsid w:val="00352EC8"/>
    <w:rsid w:val="00376B72"/>
    <w:rsid w:val="004046F0"/>
    <w:rsid w:val="004500CB"/>
    <w:rsid w:val="005557CC"/>
    <w:rsid w:val="006D5758"/>
    <w:rsid w:val="006F638E"/>
    <w:rsid w:val="007019BD"/>
    <w:rsid w:val="00796179"/>
    <w:rsid w:val="00973529"/>
    <w:rsid w:val="0098318B"/>
    <w:rsid w:val="00A43489"/>
    <w:rsid w:val="00A76097"/>
    <w:rsid w:val="00B0730D"/>
    <w:rsid w:val="00B54E68"/>
    <w:rsid w:val="00C02B28"/>
    <w:rsid w:val="00C14B81"/>
    <w:rsid w:val="00C73E49"/>
    <w:rsid w:val="00D01AFE"/>
    <w:rsid w:val="00DF7D8E"/>
    <w:rsid w:val="00E059CC"/>
    <w:rsid w:val="00F102A3"/>
    <w:rsid w:val="00FE17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1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6B72"/>
    <w:rPr>
      <w:color w:val="808080"/>
    </w:rPr>
  </w:style>
  <w:style w:type="paragraph" w:customStyle="1" w:styleId="04220529A26A4C98B9158451A7B005C3">
    <w:name w:val="04220529A26A4C98B9158451A7B005C3"/>
    <w:rsid w:val="00DF7D8E"/>
  </w:style>
  <w:style w:type="paragraph" w:customStyle="1" w:styleId="2FABFCEE81884429AAED73B2AB12ED5F">
    <w:name w:val="2FABFCEE81884429AAED73B2AB12ED5F"/>
    <w:rsid w:val="00DF7D8E"/>
  </w:style>
  <w:style w:type="paragraph" w:customStyle="1" w:styleId="75600C2FAD314E3EAD89C0793E0BA14B">
    <w:name w:val="75600C2FAD314E3EAD89C0793E0BA14B"/>
    <w:rsid w:val="00DF7D8E"/>
  </w:style>
  <w:style w:type="paragraph" w:customStyle="1" w:styleId="9DCC4610B2C44AB6959CFEF949F9A71A">
    <w:name w:val="9DCC4610B2C44AB6959CFEF949F9A71A"/>
    <w:rsid w:val="00DF7D8E"/>
  </w:style>
  <w:style w:type="paragraph" w:customStyle="1" w:styleId="9C833A0D6B444B83BB4F976DB40ED12E">
    <w:name w:val="9C833A0D6B444B83BB4F976DB40ED12E"/>
    <w:rsid w:val="006D5758"/>
  </w:style>
  <w:style w:type="paragraph" w:customStyle="1" w:styleId="C356B0E6F8DE4B7ABDD52D9A3AE5BD4B">
    <w:name w:val="C356B0E6F8DE4B7ABDD52D9A3AE5BD4B"/>
    <w:rsid w:val="006D5758"/>
  </w:style>
  <w:style w:type="paragraph" w:customStyle="1" w:styleId="E69B575B9D1F451D92B149D0CA5A9FF3">
    <w:name w:val="E69B575B9D1F451D92B149D0CA5A9FF3"/>
    <w:rsid w:val="00A43489"/>
  </w:style>
  <w:style w:type="paragraph" w:customStyle="1" w:styleId="1A823897A8634221817F8672A9EE452D">
    <w:name w:val="1A823897A8634221817F8672A9EE452D"/>
    <w:rsid w:val="00A43489"/>
  </w:style>
  <w:style w:type="paragraph" w:customStyle="1" w:styleId="7B32BB12907E4E279F9515CC8DC6ECB9">
    <w:name w:val="7B32BB12907E4E279F9515CC8DC6ECB9"/>
    <w:rsid w:val="0098318B"/>
  </w:style>
  <w:style w:type="paragraph" w:customStyle="1" w:styleId="4920D0CEB33F4AD2B6F010378AE210E3">
    <w:name w:val="4920D0CEB33F4AD2B6F010378AE210E3"/>
    <w:rsid w:val="004046F0"/>
    <w:pPr>
      <w:spacing w:after="160" w:line="259" w:lineRule="auto"/>
    </w:pPr>
  </w:style>
  <w:style w:type="paragraph" w:customStyle="1" w:styleId="5DD4A1ED7E624F4D845F1BEA6527FCD1">
    <w:name w:val="5DD4A1ED7E624F4D845F1BEA6527FCD1"/>
    <w:rsid w:val="004046F0"/>
    <w:pPr>
      <w:spacing w:after="160" w:line="259" w:lineRule="auto"/>
    </w:pPr>
  </w:style>
  <w:style w:type="paragraph" w:customStyle="1" w:styleId="E1A36602EC094F1184CDF390D767E8C3">
    <w:name w:val="E1A36602EC094F1184CDF390D767E8C3"/>
    <w:rsid w:val="004046F0"/>
    <w:pPr>
      <w:spacing w:after="160" w:line="259" w:lineRule="auto"/>
    </w:pPr>
  </w:style>
  <w:style w:type="paragraph" w:customStyle="1" w:styleId="E3BC7B9E8ADB4E5D92840A70F2CF8144">
    <w:name w:val="E3BC7B9E8ADB4E5D92840A70F2CF8144"/>
    <w:rsid w:val="00C73E49"/>
    <w:pPr>
      <w:spacing w:after="160" w:line="259" w:lineRule="auto"/>
    </w:pPr>
  </w:style>
  <w:style w:type="paragraph" w:customStyle="1" w:styleId="3F3A06AE52B04077B9963DC432BC4C08">
    <w:name w:val="3F3A06AE52B04077B9963DC432BC4C08"/>
    <w:rsid w:val="00C73E49"/>
    <w:pPr>
      <w:spacing w:after="160" w:line="259" w:lineRule="auto"/>
    </w:pPr>
  </w:style>
  <w:style w:type="paragraph" w:customStyle="1" w:styleId="07F0EB3A626F45438F19E9964EF77346">
    <w:name w:val="07F0EB3A626F45438F19E9964EF77346"/>
    <w:rsid w:val="00C73E49"/>
    <w:pPr>
      <w:spacing w:after="160" w:line="259" w:lineRule="auto"/>
    </w:pPr>
  </w:style>
  <w:style w:type="paragraph" w:customStyle="1" w:styleId="60A9837FB53F4756A864E1D401CCB565">
    <w:name w:val="60A9837FB53F4756A864E1D401CCB565"/>
    <w:rsid w:val="00C73E49"/>
    <w:pPr>
      <w:spacing w:after="160" w:line="259" w:lineRule="auto"/>
    </w:pPr>
  </w:style>
  <w:style w:type="paragraph" w:customStyle="1" w:styleId="CCA99FC3E8AC4402B91E34E0DD8E0041">
    <w:name w:val="CCA99FC3E8AC4402B91E34E0DD8E0041"/>
    <w:rsid w:val="00376B72"/>
    <w:pPr>
      <w:spacing w:after="160" w:line="259" w:lineRule="auto"/>
    </w:pPr>
  </w:style>
  <w:style w:type="paragraph" w:customStyle="1" w:styleId="0DC0D55F887840EFB5072D6808E07549">
    <w:name w:val="0DC0D55F887840EFB5072D6808E07549"/>
    <w:rsid w:val="00376B7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A9D80AF541634F88090DB549522CB9" ma:contentTypeVersion="1" ma:contentTypeDescription="Create a new document." ma:contentTypeScope="" ma:versionID="be7ea43377f7a82dc2d06363e000d1ab">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99483C-7545-44BB-846F-C1021EB4FEFB}">
  <ds:schemaRefs>
    <ds:schemaRef ds:uri="http://schemas.microsoft.com/sharepoint/v3"/>
    <ds:schemaRef ds:uri="http://schemas.openxmlformats.org/package/2006/metadata/core-properties"/>
    <ds:schemaRef ds:uri="http://www.w3.org/XML/1998/namespace"/>
    <ds:schemaRef ds:uri="http://purl.org/dc/dcmitype/"/>
    <ds:schemaRef ds:uri="http://purl.org/dc/terms/"/>
    <ds:schemaRef ds:uri="http://purl.org/dc/elements/1.1/"/>
    <ds:schemaRef ds:uri="http://schemas.microsoft.com/office/2006/documentManagement/types"/>
    <ds:schemaRef ds:uri="http://schemas.microsoft.com/office/2006/metadata/properties"/>
  </ds:schemaRefs>
</ds:datastoreItem>
</file>

<file path=customXml/itemProps2.xml><?xml version="1.0" encoding="utf-8"?>
<ds:datastoreItem xmlns:ds="http://schemas.openxmlformats.org/officeDocument/2006/customXml" ds:itemID="{AD3F3B7F-2320-48E6-A313-2EADC6945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91F923F-2606-4DD5-9180-9E26FC5E1CC7}">
  <ds:schemaRefs>
    <ds:schemaRef ds:uri="http://schemas.microsoft.com/sharepoint/v3/contenttype/forms"/>
  </ds:schemaRefs>
</ds:datastoreItem>
</file>

<file path=customXml/itemProps4.xml><?xml version="1.0" encoding="utf-8"?>
<ds:datastoreItem xmlns:ds="http://schemas.openxmlformats.org/officeDocument/2006/customXml" ds:itemID="{15A5247E-8124-45D4-AE93-521144D14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IFoA_sessional_document_cover</Template>
  <TotalTime>13</TotalTime>
  <Pages>24</Pages>
  <Words>7864</Words>
  <Characters>44825</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IFoA</Company>
  <LinksUpToDate>false</LinksUpToDate>
  <CharactersWithSpaces>52584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barbarab</dc:creator>
  <cp:lastModifiedBy>Tim Bateman</cp:lastModifiedBy>
  <cp:revision>9</cp:revision>
  <cp:lastPrinted>2017-08-31T07:16:00Z</cp:lastPrinted>
  <dcterms:created xsi:type="dcterms:W3CDTF">2018-04-05T16:10:00Z</dcterms:created>
  <dcterms:modified xsi:type="dcterms:W3CDTF">2018-04-05T16:22:00Z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0x01010065A9D80AF541634F88090DB549522CB9</vt:lpwstr>
  </property>
</Properties>
</file>