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D1" w:rsidRPr="00140AD1" w:rsidRDefault="00140AD1" w:rsidP="00140AD1">
      <w:pPr>
        <w:spacing w:after="5" w:line="249" w:lineRule="auto"/>
        <w:ind w:left="10" w:hanging="10"/>
        <w:textAlignment w:val="top"/>
        <w:rPr>
          <w:rFonts w:ascii="Arial" w:eastAsia="Calibri" w:hAnsi="Arial" w:cs="Arial"/>
          <w:color w:val="00000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40AD1" w:rsidRPr="00140AD1" w:rsidTr="00537C76">
        <w:tc>
          <w:tcPr>
            <w:tcW w:w="5000" w:type="pct"/>
          </w:tcPr>
          <w:p w:rsidR="00190872" w:rsidRDefault="00190872"/>
          <w:tbl>
            <w:tblPr>
              <w:tblW w:w="4839" w:type="pct"/>
              <w:tblLook w:val="01E0" w:firstRow="1" w:lastRow="1" w:firstColumn="1" w:lastColumn="1" w:noHBand="0" w:noVBand="0"/>
            </w:tblPr>
            <w:tblGrid>
              <w:gridCol w:w="8517"/>
            </w:tblGrid>
            <w:tr w:rsidR="00140AD1" w:rsidRPr="00140AD1" w:rsidTr="00190872">
              <w:tc>
                <w:tcPr>
                  <w:tcW w:w="5000" w:type="pct"/>
                </w:tcPr>
                <w:p w:rsidR="00140AD1" w:rsidRPr="00140AD1" w:rsidRDefault="00140AD1" w:rsidP="00537C76">
                  <w:pPr>
                    <w:spacing w:after="120" w:line="240" w:lineRule="auto"/>
                    <w:rPr>
                      <w:rFonts w:ascii="Arial" w:hAnsi="Arial" w:cs="Arial"/>
                      <w:sz w:val="20"/>
                      <w:szCs w:val="20"/>
                    </w:rPr>
                  </w:pPr>
                  <w:r w:rsidRPr="00140AD1">
                    <w:rPr>
                      <w:rFonts w:ascii="Arial" w:hAnsi="Arial" w:cs="Arial"/>
                      <w:b/>
                      <w:sz w:val="20"/>
                      <w:szCs w:val="20"/>
                    </w:rPr>
                    <w:t>1. Summary of the impact</w:t>
                  </w:r>
                </w:p>
                <w:p w:rsidR="00140AD1" w:rsidRPr="00140AD1" w:rsidRDefault="00140AD1" w:rsidP="00537C76">
                  <w:pPr>
                    <w:spacing w:after="120" w:line="240" w:lineRule="auto"/>
                    <w:jc w:val="both"/>
                    <w:rPr>
                      <w:rFonts w:ascii="Arial" w:hAnsi="Arial" w:cs="Arial"/>
                      <w:bCs/>
                      <w:color w:val="000000"/>
                      <w:sz w:val="20"/>
                      <w:szCs w:val="20"/>
                    </w:rPr>
                  </w:pPr>
                  <w:r w:rsidRPr="00140AD1">
                    <w:rPr>
                      <w:rFonts w:ascii="Arial" w:hAnsi="Arial" w:cs="Arial"/>
                      <w:sz w:val="20"/>
                      <w:szCs w:val="20"/>
                    </w:rPr>
                    <w:t xml:space="preserve">Research modelling the effect of medical conditions on longevity and mortality risk, by Professor Kulinskaya and her research group within the School of Computing Sciences at UEA, has had a direct and demonstrable impact on </w:t>
                  </w:r>
                  <w:r w:rsidRPr="00140AD1">
                    <w:rPr>
                      <w:rFonts w:ascii="Arial" w:hAnsi="Arial" w:cs="Arial"/>
                      <w:b/>
                      <w:color w:val="000000"/>
                      <w:sz w:val="20"/>
                      <w:szCs w:val="20"/>
                    </w:rPr>
                    <w:t xml:space="preserve">the UK and international actuarial community </w:t>
                  </w:r>
                  <w:r w:rsidRPr="00140AD1">
                    <w:rPr>
                      <w:rFonts w:ascii="Arial" w:hAnsi="Arial" w:cs="Arial"/>
                      <w:bCs/>
                      <w:color w:val="000000"/>
                      <w:sz w:val="20"/>
                      <w:szCs w:val="20"/>
                    </w:rPr>
                    <w:t>in three key areas:</w:t>
                  </w:r>
                </w:p>
                <w:p w:rsidR="00140AD1" w:rsidRPr="00140AD1" w:rsidRDefault="00140AD1" w:rsidP="00140AD1">
                  <w:pPr>
                    <w:pStyle w:val="ListParagraph"/>
                    <w:numPr>
                      <w:ilvl w:val="0"/>
                      <w:numId w:val="6"/>
                    </w:numPr>
                    <w:spacing w:after="120" w:line="240" w:lineRule="auto"/>
                    <w:contextualSpacing w:val="0"/>
                    <w:jc w:val="both"/>
                    <w:rPr>
                      <w:rFonts w:ascii="Arial" w:hAnsi="Arial" w:cs="Arial"/>
                      <w:sz w:val="20"/>
                      <w:szCs w:val="20"/>
                    </w:rPr>
                  </w:pPr>
                  <w:r w:rsidRPr="00140AD1">
                    <w:rPr>
                      <w:rFonts w:ascii="Arial" w:hAnsi="Arial" w:cs="Arial"/>
                      <w:sz w:val="20"/>
                      <w:szCs w:val="20"/>
                    </w:rPr>
                    <w:t xml:space="preserve">Involvement with the actuarial community has resulted in improved pricing and reserving within the insurance and pensions sector. </w:t>
                  </w:r>
                </w:p>
                <w:p w:rsidR="00140AD1" w:rsidRPr="00140AD1" w:rsidRDefault="00140AD1" w:rsidP="00140AD1">
                  <w:pPr>
                    <w:pStyle w:val="ListParagraph"/>
                    <w:numPr>
                      <w:ilvl w:val="0"/>
                      <w:numId w:val="6"/>
                    </w:numPr>
                    <w:spacing w:after="120" w:line="240" w:lineRule="auto"/>
                    <w:contextualSpacing w:val="0"/>
                    <w:jc w:val="both"/>
                    <w:rPr>
                      <w:rFonts w:ascii="Arial" w:hAnsi="Arial" w:cs="Arial"/>
                      <w:sz w:val="20"/>
                      <w:szCs w:val="20"/>
                    </w:rPr>
                  </w:pPr>
                  <w:r w:rsidRPr="00140AD1">
                    <w:rPr>
                      <w:rFonts w:ascii="Arial" w:hAnsi="Arial" w:cs="Arial"/>
                      <w:sz w:val="20"/>
                      <w:szCs w:val="20"/>
                    </w:rPr>
                    <w:t>Uptake of improved mortality and life expectancy projections by the leading insurance provider Aviva has resulted in wider access to insurance and pension products for people with impaired health.</w:t>
                  </w:r>
                </w:p>
                <w:p w:rsidR="00140AD1" w:rsidRPr="00140AD1" w:rsidRDefault="00140AD1" w:rsidP="00140AD1">
                  <w:pPr>
                    <w:pStyle w:val="ListParagraph"/>
                    <w:numPr>
                      <w:ilvl w:val="0"/>
                      <w:numId w:val="6"/>
                    </w:numPr>
                    <w:spacing w:after="120" w:line="240" w:lineRule="auto"/>
                    <w:contextualSpacing w:val="0"/>
                    <w:jc w:val="both"/>
                    <w:rPr>
                      <w:rFonts w:ascii="Arial" w:hAnsi="Arial" w:cs="Arial"/>
                      <w:sz w:val="20"/>
                      <w:szCs w:val="20"/>
                    </w:rPr>
                  </w:pPr>
                  <w:r w:rsidRPr="00140AD1">
                    <w:rPr>
                      <w:rFonts w:ascii="Arial" w:hAnsi="Arial" w:cs="Arial"/>
                      <w:sz w:val="20"/>
                      <w:szCs w:val="20"/>
                    </w:rPr>
                    <w:t>Influencing UK and international health and social care policy makers.</w:t>
                  </w:r>
                </w:p>
                <w:p w:rsidR="00140AD1" w:rsidRPr="00140AD1" w:rsidRDefault="00140AD1" w:rsidP="00537C76">
                  <w:pPr>
                    <w:spacing w:after="120" w:line="240" w:lineRule="auto"/>
                    <w:jc w:val="both"/>
                    <w:rPr>
                      <w:rFonts w:ascii="Arial" w:hAnsi="Arial" w:cs="Arial"/>
                      <w:sz w:val="20"/>
                      <w:szCs w:val="20"/>
                    </w:rPr>
                  </w:pPr>
                </w:p>
              </w:tc>
            </w:tr>
            <w:tr w:rsidR="00140AD1" w:rsidRPr="00140AD1" w:rsidTr="00190872">
              <w:tc>
                <w:tcPr>
                  <w:tcW w:w="5000" w:type="pct"/>
                </w:tcPr>
                <w:p w:rsidR="00140AD1" w:rsidRPr="00140AD1" w:rsidRDefault="00140AD1" w:rsidP="00537C76">
                  <w:pPr>
                    <w:spacing w:after="120" w:line="240" w:lineRule="auto"/>
                    <w:rPr>
                      <w:rFonts w:ascii="Arial" w:hAnsi="Arial" w:cs="Arial"/>
                      <w:sz w:val="20"/>
                      <w:szCs w:val="20"/>
                    </w:rPr>
                  </w:pPr>
                  <w:r w:rsidRPr="00140AD1">
                    <w:rPr>
                      <w:rFonts w:ascii="Arial" w:hAnsi="Arial" w:cs="Arial"/>
                      <w:b/>
                      <w:sz w:val="20"/>
                      <w:szCs w:val="20"/>
                    </w:rPr>
                    <w:t>2. Underpinning research</w:t>
                  </w:r>
                  <w:r w:rsidRPr="00140AD1">
                    <w:rPr>
                      <w:rFonts w:ascii="Arial" w:hAnsi="Arial" w:cs="Arial"/>
                      <w:sz w:val="20"/>
                      <w:szCs w:val="20"/>
                    </w:rPr>
                    <w:t xml:space="preserve"> </w:t>
                  </w:r>
                </w:p>
                <w:p w:rsidR="00140AD1" w:rsidRPr="00140AD1" w:rsidRDefault="00140AD1" w:rsidP="00537C76">
                  <w:pPr>
                    <w:autoSpaceDE w:val="0"/>
                    <w:autoSpaceDN w:val="0"/>
                    <w:adjustRightInd w:val="0"/>
                    <w:spacing w:after="120" w:line="240" w:lineRule="auto"/>
                    <w:jc w:val="both"/>
                    <w:rPr>
                      <w:rFonts w:ascii="Arial" w:hAnsi="Arial" w:cs="Arial"/>
                      <w:color w:val="000000"/>
                      <w:sz w:val="20"/>
                      <w:szCs w:val="20"/>
                    </w:rPr>
                  </w:pPr>
                  <w:r w:rsidRPr="00140AD1">
                    <w:rPr>
                      <w:rFonts w:ascii="Arial" w:hAnsi="Arial" w:cs="Arial"/>
                      <w:bCs/>
                      <w:color w:val="000000"/>
                      <w:sz w:val="20"/>
                      <w:szCs w:val="20"/>
                    </w:rPr>
                    <w:t>Kulinskaya</w:t>
                  </w:r>
                  <w:r w:rsidRPr="00140AD1">
                    <w:rPr>
                      <w:rFonts w:ascii="Arial" w:eastAsia="Arial" w:hAnsi="Arial" w:cs="Arial"/>
                      <w:bCs/>
                      <w:color w:val="000000"/>
                      <w:sz w:val="20"/>
                      <w:szCs w:val="20"/>
                    </w:rPr>
                    <w:t xml:space="preserve"> joined UEA i</w:t>
                  </w:r>
                  <w:r w:rsidRPr="00140AD1">
                    <w:rPr>
                      <w:rFonts w:ascii="Arial" w:hAnsi="Arial" w:cs="Arial"/>
                      <w:bCs/>
                      <w:color w:val="000000"/>
                      <w:sz w:val="20"/>
                      <w:szCs w:val="20"/>
                    </w:rPr>
                    <w:t xml:space="preserve">n March 2010 </w:t>
                  </w:r>
                  <w:r w:rsidRPr="00140AD1">
                    <w:rPr>
                      <w:rFonts w:ascii="Arial" w:eastAsia="Arial" w:hAnsi="Arial" w:cs="Arial"/>
                      <w:bCs/>
                      <w:color w:val="000000"/>
                      <w:sz w:val="20"/>
                      <w:szCs w:val="20"/>
                    </w:rPr>
                    <w:t xml:space="preserve">as </w:t>
                  </w:r>
                  <w:r w:rsidRPr="00140AD1">
                    <w:rPr>
                      <w:rFonts w:ascii="Arial" w:hAnsi="Arial" w:cs="Arial"/>
                      <w:bCs/>
                      <w:color w:val="000000"/>
                      <w:sz w:val="20"/>
                      <w:szCs w:val="20"/>
                    </w:rPr>
                    <w:t>the</w:t>
                  </w:r>
                  <w:r w:rsidRPr="00140AD1">
                    <w:rPr>
                      <w:rFonts w:ascii="Arial" w:eastAsia="Arial" w:hAnsi="Arial" w:cs="Arial"/>
                      <w:bCs/>
                      <w:color w:val="000000"/>
                      <w:sz w:val="20"/>
                      <w:szCs w:val="20"/>
                    </w:rPr>
                    <w:t xml:space="preserve"> </w:t>
                  </w:r>
                  <w:r w:rsidRPr="00140AD1">
                    <w:rPr>
                      <w:rFonts w:ascii="Arial" w:hAnsi="Arial" w:cs="Arial"/>
                      <w:i/>
                      <w:iCs/>
                      <w:color w:val="000000"/>
                      <w:sz w:val="20"/>
                      <w:szCs w:val="20"/>
                    </w:rPr>
                    <w:t>Aviva</w:t>
                  </w:r>
                  <w:r w:rsidRPr="00140AD1">
                    <w:rPr>
                      <w:rFonts w:ascii="Arial" w:eastAsia="Arial" w:hAnsi="Arial" w:cs="Arial"/>
                      <w:i/>
                      <w:iCs/>
                      <w:color w:val="000000"/>
                      <w:sz w:val="20"/>
                      <w:szCs w:val="20"/>
                    </w:rPr>
                    <w:t xml:space="preserve"> </w:t>
                  </w:r>
                  <w:r w:rsidRPr="00140AD1">
                    <w:rPr>
                      <w:rFonts w:ascii="Arial" w:hAnsi="Arial" w:cs="Arial"/>
                      <w:i/>
                      <w:iCs/>
                      <w:color w:val="000000"/>
                      <w:sz w:val="20"/>
                      <w:szCs w:val="20"/>
                    </w:rPr>
                    <w:t>Chair</w:t>
                  </w:r>
                  <w:r w:rsidRPr="00140AD1">
                    <w:rPr>
                      <w:rFonts w:ascii="Arial" w:eastAsia="Arial" w:hAnsi="Arial" w:cs="Arial"/>
                      <w:i/>
                      <w:iCs/>
                      <w:color w:val="000000"/>
                      <w:sz w:val="20"/>
                      <w:szCs w:val="20"/>
                    </w:rPr>
                    <w:t xml:space="preserve"> </w:t>
                  </w:r>
                  <w:r w:rsidRPr="00140AD1">
                    <w:rPr>
                      <w:rFonts w:ascii="Arial" w:hAnsi="Arial" w:cs="Arial"/>
                      <w:i/>
                      <w:iCs/>
                      <w:color w:val="000000"/>
                      <w:sz w:val="20"/>
                      <w:szCs w:val="20"/>
                    </w:rPr>
                    <w:t>in</w:t>
                  </w:r>
                  <w:r w:rsidRPr="00140AD1">
                    <w:rPr>
                      <w:rFonts w:ascii="Arial" w:eastAsia="Arial" w:hAnsi="Arial" w:cs="Arial"/>
                      <w:i/>
                      <w:iCs/>
                      <w:color w:val="000000"/>
                      <w:sz w:val="20"/>
                      <w:szCs w:val="20"/>
                    </w:rPr>
                    <w:t xml:space="preserve"> </w:t>
                  </w:r>
                  <w:r w:rsidRPr="00140AD1">
                    <w:rPr>
                      <w:rFonts w:ascii="Arial" w:hAnsi="Arial" w:cs="Arial"/>
                      <w:i/>
                      <w:iCs/>
                      <w:color w:val="000000"/>
                      <w:sz w:val="20"/>
                      <w:szCs w:val="20"/>
                    </w:rPr>
                    <w:t>Insurance</w:t>
                  </w:r>
                  <w:r w:rsidRPr="00140AD1">
                    <w:rPr>
                      <w:rFonts w:ascii="Arial" w:eastAsia="Arial" w:hAnsi="Arial" w:cs="Arial"/>
                      <w:i/>
                      <w:iCs/>
                      <w:color w:val="000000"/>
                      <w:sz w:val="20"/>
                      <w:szCs w:val="20"/>
                    </w:rPr>
                    <w:t xml:space="preserve"> </w:t>
                  </w:r>
                  <w:r w:rsidRPr="00140AD1">
                    <w:rPr>
                      <w:rFonts w:ascii="Arial" w:hAnsi="Arial" w:cs="Arial"/>
                      <w:i/>
                      <w:iCs/>
                      <w:color w:val="000000"/>
                      <w:sz w:val="20"/>
                      <w:szCs w:val="20"/>
                    </w:rPr>
                    <w:t xml:space="preserve">Statistics, </w:t>
                  </w:r>
                  <w:r w:rsidRPr="00140AD1">
                    <w:rPr>
                      <w:rFonts w:ascii="Arial" w:hAnsi="Arial" w:cs="Arial"/>
                      <w:color w:val="000000"/>
                      <w:sz w:val="20"/>
                      <w:szCs w:val="20"/>
                    </w:rPr>
                    <w:t xml:space="preserve">bringing with her expertise in health applications of multivariate statistical methods. Since 2014, Kulinskaya and co-authors have developed a methodology for modelling the impacts of chronic medical conditions, medical advances and health interventions on longevity and mortality risks at both individual and population level. The methodology is based on advanced methods of design and statistical analysis of the observational data from big health administrative databases, such as The Health Improvement Network (THIN) primary care database and the National Joint register (NJR). It involves the following steps: </w:t>
                  </w:r>
                </w:p>
                <w:p w:rsidR="00140AD1" w:rsidRPr="00140AD1" w:rsidRDefault="00140AD1" w:rsidP="00140AD1">
                  <w:pPr>
                    <w:pStyle w:val="ListParagraph"/>
                    <w:numPr>
                      <w:ilvl w:val="0"/>
                      <w:numId w:val="2"/>
                    </w:numPr>
                    <w:autoSpaceDE w:val="0"/>
                    <w:autoSpaceDN w:val="0"/>
                    <w:adjustRightInd w:val="0"/>
                    <w:spacing w:after="120" w:line="240" w:lineRule="auto"/>
                    <w:ind w:left="714" w:hanging="357"/>
                    <w:contextualSpacing w:val="0"/>
                    <w:jc w:val="both"/>
                    <w:rPr>
                      <w:rFonts w:ascii="Arial" w:hAnsi="Arial" w:cs="Arial"/>
                      <w:color w:val="000000"/>
                      <w:sz w:val="20"/>
                      <w:szCs w:val="20"/>
                    </w:rPr>
                  </w:pPr>
                  <w:r w:rsidRPr="00140AD1">
                    <w:rPr>
                      <w:rFonts w:ascii="Arial" w:hAnsi="Arial" w:cs="Arial"/>
                      <w:color w:val="000000"/>
                      <w:sz w:val="20"/>
                      <w:szCs w:val="20"/>
                    </w:rPr>
                    <w:t xml:space="preserve">design a longitudinal case-cohort study with the appropriate cohorts of cases and their controls selected from the big administrative dataset, </w:t>
                  </w:r>
                </w:p>
                <w:p w:rsidR="00140AD1" w:rsidRPr="00140AD1" w:rsidRDefault="00140AD1" w:rsidP="00140AD1">
                  <w:pPr>
                    <w:pStyle w:val="ListParagraph"/>
                    <w:numPr>
                      <w:ilvl w:val="0"/>
                      <w:numId w:val="2"/>
                    </w:numPr>
                    <w:autoSpaceDE w:val="0"/>
                    <w:autoSpaceDN w:val="0"/>
                    <w:adjustRightInd w:val="0"/>
                    <w:spacing w:after="120" w:line="240" w:lineRule="auto"/>
                    <w:ind w:left="714" w:hanging="357"/>
                    <w:contextualSpacing w:val="0"/>
                    <w:jc w:val="both"/>
                    <w:rPr>
                      <w:rFonts w:ascii="Arial" w:hAnsi="Arial" w:cs="Arial"/>
                      <w:color w:val="000000"/>
                      <w:sz w:val="20"/>
                      <w:szCs w:val="20"/>
                    </w:rPr>
                  </w:pPr>
                  <w:r w:rsidRPr="00140AD1">
                    <w:rPr>
                      <w:rFonts w:ascii="Arial" w:hAnsi="Arial" w:cs="Arial"/>
                      <w:color w:val="000000"/>
                      <w:sz w:val="20"/>
                      <w:szCs w:val="20"/>
                    </w:rPr>
                    <w:t xml:space="preserve">build a sophisticated survival model enabling evaluation of survival benefits or harms of particular chronic health conditions, treatments and public health interventions, </w:t>
                  </w:r>
                </w:p>
                <w:p w:rsidR="00140AD1" w:rsidRPr="00140AD1" w:rsidRDefault="00140AD1" w:rsidP="00140AD1">
                  <w:pPr>
                    <w:pStyle w:val="ListParagraph"/>
                    <w:numPr>
                      <w:ilvl w:val="0"/>
                      <w:numId w:val="2"/>
                    </w:numPr>
                    <w:autoSpaceDE w:val="0"/>
                    <w:autoSpaceDN w:val="0"/>
                    <w:adjustRightInd w:val="0"/>
                    <w:spacing w:after="120" w:line="240" w:lineRule="auto"/>
                    <w:contextualSpacing w:val="0"/>
                    <w:jc w:val="both"/>
                    <w:rPr>
                      <w:rFonts w:ascii="Arial" w:hAnsi="Arial" w:cs="Arial"/>
                      <w:color w:val="000000"/>
                      <w:sz w:val="20"/>
                      <w:szCs w:val="20"/>
                    </w:rPr>
                  </w:pPr>
                  <w:r w:rsidRPr="00140AD1">
                    <w:rPr>
                      <w:rFonts w:ascii="Arial" w:hAnsi="Arial" w:cs="Arial"/>
                      <w:color w:val="000000"/>
                      <w:sz w:val="20"/>
                      <w:szCs w:val="20"/>
                    </w:rPr>
                    <w:t>and integrate these individual survival effects to evaluate the population effects.</w:t>
                  </w:r>
                </w:p>
                <w:p w:rsidR="00140AD1" w:rsidRPr="00140AD1" w:rsidRDefault="00140AD1" w:rsidP="00537C76">
                  <w:pPr>
                    <w:autoSpaceDE w:val="0"/>
                    <w:autoSpaceDN w:val="0"/>
                    <w:adjustRightInd w:val="0"/>
                    <w:spacing w:after="120" w:line="240" w:lineRule="auto"/>
                    <w:jc w:val="both"/>
                    <w:rPr>
                      <w:rFonts w:ascii="Arial" w:hAnsi="Arial" w:cs="Arial"/>
                      <w:color w:val="000000"/>
                      <w:sz w:val="20"/>
                      <w:szCs w:val="20"/>
                    </w:rPr>
                  </w:pPr>
                  <w:r w:rsidRPr="00140AD1">
                    <w:rPr>
                      <w:rFonts w:ascii="Arial" w:hAnsi="Arial" w:cs="Arial"/>
                      <w:color w:val="000000"/>
                      <w:sz w:val="20"/>
                      <w:szCs w:val="20"/>
                    </w:rPr>
                    <w:t>This approach was applied to three important examples of implemented or potential health interventions:</w:t>
                  </w:r>
                </w:p>
                <w:p w:rsidR="00140AD1" w:rsidRPr="00140AD1" w:rsidRDefault="00140AD1" w:rsidP="00140AD1">
                  <w:pPr>
                    <w:pStyle w:val="ListParagraph"/>
                    <w:numPr>
                      <w:ilvl w:val="0"/>
                      <w:numId w:val="7"/>
                    </w:numPr>
                    <w:autoSpaceDE w:val="0"/>
                    <w:autoSpaceDN w:val="0"/>
                    <w:adjustRightInd w:val="0"/>
                    <w:spacing w:after="120" w:line="240" w:lineRule="auto"/>
                    <w:contextualSpacing w:val="0"/>
                    <w:jc w:val="both"/>
                    <w:rPr>
                      <w:rFonts w:ascii="Arial" w:hAnsi="Arial" w:cs="Arial"/>
                      <w:sz w:val="20"/>
                      <w:szCs w:val="20"/>
                    </w:rPr>
                  </w:pPr>
                  <w:r w:rsidRPr="00140AD1">
                    <w:rPr>
                      <w:rFonts w:ascii="Arial" w:hAnsi="Arial" w:cs="Arial"/>
                      <w:color w:val="000000"/>
                      <w:sz w:val="20"/>
                      <w:szCs w:val="20"/>
                    </w:rPr>
                    <w:t xml:space="preserve">The survival benefits of statins at key retirement ages were established and published in 2016 [1], </w:t>
                  </w:r>
                </w:p>
                <w:p w:rsidR="00140AD1" w:rsidRPr="00140AD1" w:rsidRDefault="00140AD1" w:rsidP="00140AD1">
                  <w:pPr>
                    <w:pStyle w:val="ListParagraph"/>
                    <w:numPr>
                      <w:ilvl w:val="0"/>
                      <w:numId w:val="7"/>
                    </w:numPr>
                    <w:autoSpaceDE w:val="0"/>
                    <w:autoSpaceDN w:val="0"/>
                    <w:adjustRightInd w:val="0"/>
                    <w:spacing w:after="120" w:line="240" w:lineRule="auto"/>
                    <w:contextualSpacing w:val="0"/>
                    <w:jc w:val="both"/>
                    <w:rPr>
                      <w:rFonts w:ascii="Arial" w:hAnsi="Arial" w:cs="Arial"/>
                      <w:sz w:val="20"/>
                      <w:szCs w:val="20"/>
                    </w:rPr>
                  </w:pPr>
                  <w:r w:rsidRPr="00140AD1">
                    <w:rPr>
                      <w:rFonts w:ascii="Arial" w:hAnsi="Arial" w:cs="Arial"/>
                      <w:color w:val="000000"/>
                      <w:sz w:val="20"/>
                      <w:szCs w:val="20"/>
                    </w:rPr>
                    <w:t xml:space="preserve">the effects of a number of medical interventions on survival after heart attack were published in 2017 [2], </w:t>
                  </w:r>
                </w:p>
                <w:p w:rsidR="00140AD1" w:rsidRPr="00140AD1" w:rsidRDefault="00140AD1" w:rsidP="00140AD1">
                  <w:pPr>
                    <w:pStyle w:val="ListParagraph"/>
                    <w:numPr>
                      <w:ilvl w:val="0"/>
                      <w:numId w:val="7"/>
                    </w:numPr>
                    <w:autoSpaceDE w:val="0"/>
                    <w:autoSpaceDN w:val="0"/>
                    <w:adjustRightInd w:val="0"/>
                    <w:spacing w:after="120" w:line="240" w:lineRule="auto"/>
                    <w:contextualSpacing w:val="0"/>
                    <w:jc w:val="both"/>
                    <w:rPr>
                      <w:rFonts w:ascii="Arial" w:hAnsi="Arial" w:cs="Arial"/>
                      <w:sz w:val="20"/>
                      <w:szCs w:val="20"/>
                    </w:rPr>
                  </w:pPr>
                  <w:r w:rsidRPr="00140AD1">
                    <w:rPr>
                      <w:rFonts w:ascii="Arial" w:hAnsi="Arial" w:cs="Arial"/>
                      <w:color w:val="000000"/>
                      <w:sz w:val="20"/>
                      <w:szCs w:val="20"/>
                    </w:rPr>
                    <w:t xml:space="preserve">and optimal </w:t>
                  </w:r>
                  <w:r w:rsidRPr="00140AD1">
                    <w:rPr>
                      <w:rFonts w:ascii="Arial" w:hAnsi="Arial" w:cs="Arial"/>
                      <w:sz w:val="20"/>
                      <w:szCs w:val="20"/>
                    </w:rPr>
                    <w:t xml:space="preserve">systolic blood pressure targets were evaluated and published in 2019 [3]. </w:t>
                  </w:r>
                </w:p>
                <w:p w:rsidR="00140AD1" w:rsidRPr="00140AD1" w:rsidRDefault="00140AD1" w:rsidP="00537C76">
                  <w:pPr>
                    <w:autoSpaceDE w:val="0"/>
                    <w:autoSpaceDN w:val="0"/>
                    <w:adjustRightInd w:val="0"/>
                    <w:spacing w:after="120" w:line="240" w:lineRule="auto"/>
                    <w:jc w:val="both"/>
                    <w:rPr>
                      <w:rFonts w:ascii="Arial" w:hAnsi="Arial" w:cs="Arial"/>
                      <w:color w:val="202020"/>
                      <w:sz w:val="20"/>
                      <w:szCs w:val="20"/>
                      <w:shd w:val="clear" w:color="auto" w:fill="FFFFFF"/>
                    </w:rPr>
                  </w:pPr>
                  <w:r w:rsidRPr="00140AD1">
                    <w:rPr>
                      <w:rFonts w:ascii="Arial" w:hAnsi="Arial" w:cs="Arial"/>
                      <w:sz w:val="20"/>
                      <w:szCs w:val="20"/>
                    </w:rPr>
                    <w:t>In [1], we demonstrated that t</w:t>
                  </w:r>
                  <w:r w:rsidRPr="00140AD1">
                    <w:rPr>
                      <w:rFonts w:ascii="Arial" w:hAnsi="Arial" w:cs="Arial"/>
                      <w:color w:val="202020"/>
                      <w:sz w:val="20"/>
                      <w:szCs w:val="20"/>
                      <w:shd w:val="clear" w:color="auto" w:fill="FFFFFF"/>
                    </w:rPr>
                    <w:t xml:space="preserve">he current internationally recommended thresholds for statin therapy for primary prevention of cardiovascular disease in routine practice may be too low and may lead to overtreatment of younger people and those at low risk of heart disease. </w:t>
                  </w:r>
                </w:p>
                <w:p w:rsidR="00140AD1" w:rsidRPr="00140AD1" w:rsidRDefault="00140AD1" w:rsidP="00537C76">
                  <w:pPr>
                    <w:autoSpaceDE w:val="0"/>
                    <w:autoSpaceDN w:val="0"/>
                    <w:adjustRightInd w:val="0"/>
                    <w:spacing w:after="120" w:line="240" w:lineRule="auto"/>
                    <w:jc w:val="both"/>
                    <w:rPr>
                      <w:rFonts w:ascii="Arial" w:hAnsi="Arial" w:cs="Arial"/>
                      <w:color w:val="333333"/>
                      <w:sz w:val="20"/>
                      <w:szCs w:val="20"/>
                      <w:shd w:val="clear" w:color="auto" w:fill="FFFFFF"/>
                    </w:rPr>
                  </w:pPr>
                  <w:r w:rsidRPr="00140AD1">
                    <w:rPr>
                      <w:rFonts w:ascii="Arial" w:hAnsi="Arial" w:cs="Arial"/>
                      <w:color w:val="202020"/>
                      <w:sz w:val="20"/>
                      <w:szCs w:val="20"/>
                      <w:shd w:val="clear" w:color="auto" w:fill="FFFFFF"/>
                    </w:rPr>
                    <w:t>In [2], we quantified t</w:t>
                  </w:r>
                  <w:r w:rsidRPr="00140AD1">
                    <w:rPr>
                      <w:rFonts w:ascii="Arial" w:hAnsi="Arial" w:cs="Arial"/>
                      <w:color w:val="333333"/>
                      <w:sz w:val="20"/>
                      <w:szCs w:val="20"/>
                      <w:shd w:val="clear" w:color="auto" w:fill="FFFFFF"/>
                    </w:rPr>
                    <w:t>he hazards of death after myocardial infarction and found them to be less than reported by previous studies. We also found that standard treatments of aspirin or ACE inhibitors may be of little benefit or even cause harm.</w:t>
                  </w:r>
                </w:p>
                <w:p w:rsidR="00140AD1" w:rsidRPr="00140AD1" w:rsidRDefault="00140AD1" w:rsidP="00537C76">
                  <w:pPr>
                    <w:autoSpaceDE w:val="0"/>
                    <w:autoSpaceDN w:val="0"/>
                    <w:adjustRightInd w:val="0"/>
                    <w:spacing w:after="120" w:line="240" w:lineRule="auto"/>
                    <w:jc w:val="both"/>
                    <w:rPr>
                      <w:rFonts w:ascii="Arial" w:hAnsi="Arial" w:cs="Arial"/>
                      <w:color w:val="202020"/>
                      <w:sz w:val="20"/>
                      <w:szCs w:val="20"/>
                      <w:shd w:val="clear" w:color="auto" w:fill="FFFFFF"/>
                    </w:rPr>
                  </w:pPr>
                  <w:r w:rsidRPr="00140AD1">
                    <w:rPr>
                      <w:rFonts w:ascii="Arial" w:hAnsi="Arial" w:cs="Arial"/>
                      <w:color w:val="202020"/>
                      <w:sz w:val="20"/>
                      <w:szCs w:val="20"/>
                      <w:shd w:val="clear" w:color="auto" w:fill="FFFFFF"/>
                    </w:rPr>
                    <w:t xml:space="preserve">In [3] we compared intensive control of systolic blood pressure (SBP) at 120 mmHg (which is being implemented in the US) to standard control at 140 mmHg and quantified life expectancy implications of the two target SBP levels. We concluded </w:t>
                  </w:r>
                  <w:r w:rsidRPr="00140AD1">
                    <w:rPr>
                      <w:rFonts w:ascii="Arial" w:hAnsi="Arial" w:cs="Arial"/>
                      <w:color w:val="212121"/>
                      <w:sz w:val="20"/>
                      <w:szCs w:val="20"/>
                      <w:shd w:val="clear" w:color="auto" w:fill="FFFFFF"/>
                    </w:rPr>
                    <w:t>that intensive treatment of SBP may be harmful in the general population in the UK.</w:t>
                  </w:r>
                </w:p>
                <w:p w:rsidR="00140AD1" w:rsidRPr="00140AD1" w:rsidRDefault="00140AD1" w:rsidP="00537C76">
                  <w:pPr>
                    <w:autoSpaceDE w:val="0"/>
                    <w:autoSpaceDN w:val="0"/>
                    <w:adjustRightInd w:val="0"/>
                    <w:spacing w:after="120" w:line="240" w:lineRule="auto"/>
                    <w:jc w:val="both"/>
                    <w:rPr>
                      <w:rFonts w:ascii="Arial" w:hAnsi="Arial" w:cs="Arial"/>
                      <w:sz w:val="20"/>
                      <w:szCs w:val="20"/>
                    </w:rPr>
                  </w:pPr>
                  <w:r w:rsidRPr="00140AD1">
                    <w:rPr>
                      <w:rFonts w:ascii="Arial" w:hAnsi="Arial" w:cs="Arial"/>
                      <w:sz w:val="20"/>
                      <w:szCs w:val="20"/>
                    </w:rPr>
                    <w:t xml:space="preserve">Our novel methodology of integrating individual effects to population level longevity changes is presented in [4, 5]. This integration requires a combination of parametric assumptions about the underlying survival distribution, such as the </w:t>
                  </w:r>
                  <w:proofErr w:type="spellStart"/>
                  <w:r w:rsidRPr="00140AD1">
                    <w:rPr>
                      <w:rFonts w:ascii="Arial" w:hAnsi="Arial" w:cs="Arial"/>
                      <w:sz w:val="20"/>
                      <w:szCs w:val="20"/>
                    </w:rPr>
                    <w:t>Gompertz</w:t>
                  </w:r>
                  <w:proofErr w:type="spellEnd"/>
                  <w:r w:rsidRPr="00140AD1">
                    <w:rPr>
                      <w:rFonts w:ascii="Arial" w:hAnsi="Arial" w:cs="Arial"/>
                      <w:sz w:val="20"/>
                      <w:szCs w:val="20"/>
                    </w:rPr>
                    <w:t xml:space="preserve"> or Weibull distribution, with a survival model incorporating a number of modifiers. The latter can use a Cox’s regression when the proportional hazards assumption is satisfied, but may require more complicated modelling of shape and scale parameters. This “double-Cox” model was developed in [6]. </w:t>
                  </w:r>
                </w:p>
                <w:p w:rsidR="00140AD1" w:rsidRPr="00140AD1" w:rsidRDefault="00140AD1" w:rsidP="00537C76">
                  <w:pPr>
                    <w:autoSpaceDE w:val="0"/>
                    <w:autoSpaceDN w:val="0"/>
                    <w:adjustRightInd w:val="0"/>
                    <w:spacing w:after="120" w:line="240" w:lineRule="auto"/>
                    <w:jc w:val="both"/>
                    <w:rPr>
                      <w:rFonts w:ascii="Arial" w:hAnsi="Arial" w:cs="Arial"/>
                      <w:color w:val="000000"/>
                      <w:sz w:val="20"/>
                      <w:szCs w:val="20"/>
                    </w:rPr>
                  </w:pPr>
                  <w:r w:rsidRPr="00140AD1">
                    <w:rPr>
                      <w:rFonts w:ascii="Arial" w:hAnsi="Arial" w:cs="Arial"/>
                      <w:color w:val="000000"/>
                      <w:sz w:val="20"/>
                      <w:szCs w:val="20"/>
                    </w:rPr>
                    <w:lastRenderedPageBreak/>
                    <w:t>Our research on methodology of incorporating results of survival modelling into evaluation of longevity and its applications to UK life expectancy changes was supported by the grant from IFoA [reference?]. Development of novel survival models and their application to NJR data was supported by ESRC BLG DRC grant [reference?].</w:t>
                  </w:r>
                </w:p>
              </w:tc>
            </w:tr>
            <w:tr w:rsidR="00140AD1" w:rsidRPr="00140AD1" w:rsidTr="00190872">
              <w:tc>
                <w:tcPr>
                  <w:tcW w:w="5000" w:type="pct"/>
                </w:tcPr>
                <w:p w:rsidR="00190872" w:rsidRDefault="00190872" w:rsidP="00537C76">
                  <w:pPr>
                    <w:spacing w:after="120" w:line="240" w:lineRule="auto"/>
                    <w:rPr>
                      <w:rFonts w:ascii="Arial" w:hAnsi="Arial" w:cs="Arial"/>
                      <w:b/>
                      <w:sz w:val="20"/>
                      <w:szCs w:val="20"/>
                    </w:rPr>
                  </w:pPr>
                </w:p>
                <w:p w:rsidR="00140AD1" w:rsidRPr="00140AD1" w:rsidRDefault="00140AD1" w:rsidP="00537C76">
                  <w:pPr>
                    <w:spacing w:after="120" w:line="240" w:lineRule="auto"/>
                    <w:rPr>
                      <w:rFonts w:ascii="Arial" w:hAnsi="Arial" w:cs="Arial"/>
                      <w:b/>
                      <w:sz w:val="20"/>
                      <w:szCs w:val="20"/>
                    </w:rPr>
                  </w:pPr>
                  <w:r w:rsidRPr="00140AD1">
                    <w:rPr>
                      <w:rFonts w:ascii="Arial" w:hAnsi="Arial" w:cs="Arial"/>
                      <w:b/>
                      <w:sz w:val="20"/>
                      <w:szCs w:val="20"/>
                    </w:rPr>
                    <w:t>3. References to the research</w:t>
                  </w:r>
                </w:p>
                <w:p w:rsidR="00140AD1" w:rsidRPr="00140AD1" w:rsidRDefault="00140AD1" w:rsidP="00537C76">
                  <w:pPr>
                    <w:spacing w:after="120" w:line="240" w:lineRule="auto"/>
                    <w:rPr>
                      <w:rFonts w:ascii="Arial" w:hAnsi="Arial" w:cs="Arial"/>
                      <w:bCs/>
                      <w:sz w:val="20"/>
                      <w:szCs w:val="20"/>
                    </w:rPr>
                  </w:pPr>
                  <w:r w:rsidRPr="00140AD1">
                    <w:rPr>
                      <w:rFonts w:ascii="Arial" w:hAnsi="Arial" w:cs="Arial"/>
                      <w:bCs/>
                      <w:sz w:val="20"/>
                      <w:szCs w:val="20"/>
                    </w:rPr>
                    <w:t xml:space="preserve">(UEA authors highlighted in </w:t>
                  </w:r>
                  <w:r w:rsidRPr="00140AD1">
                    <w:rPr>
                      <w:rFonts w:ascii="Arial" w:hAnsi="Arial" w:cs="Arial"/>
                      <w:b/>
                      <w:sz w:val="20"/>
                      <w:szCs w:val="20"/>
                    </w:rPr>
                    <w:t>bold</w:t>
                  </w:r>
                  <w:r w:rsidRPr="00140AD1">
                    <w:rPr>
                      <w:rFonts w:ascii="Arial" w:hAnsi="Arial" w:cs="Arial"/>
                      <w:bCs/>
                      <w:sz w:val="20"/>
                      <w:szCs w:val="20"/>
                    </w:rPr>
                    <w:t>)</w:t>
                  </w:r>
                </w:p>
                <w:p w:rsidR="00140AD1" w:rsidRPr="00140AD1" w:rsidRDefault="00140AD1" w:rsidP="00140AD1">
                  <w:pPr>
                    <w:pStyle w:val="ListParagraph"/>
                    <w:numPr>
                      <w:ilvl w:val="0"/>
                      <w:numId w:val="5"/>
                    </w:numPr>
                    <w:spacing w:after="0" w:line="240" w:lineRule="auto"/>
                    <w:ind w:left="460" w:hanging="425"/>
                    <w:contextualSpacing w:val="0"/>
                    <w:rPr>
                      <w:rFonts w:ascii="Arial" w:hAnsi="Arial" w:cs="Arial"/>
                      <w:sz w:val="20"/>
                      <w:szCs w:val="20"/>
                    </w:rPr>
                  </w:pPr>
                  <w:r w:rsidRPr="00140AD1">
                    <w:rPr>
                      <w:rFonts w:ascii="Arial" w:hAnsi="Arial" w:cs="Arial"/>
                      <w:sz w:val="20"/>
                      <w:szCs w:val="20"/>
                    </w:rPr>
                    <w:t xml:space="preserve">Survival Benefits of Statins for Primary Prevention: A Cohort Study </w:t>
                  </w:r>
                </w:p>
                <w:p w:rsidR="00140AD1" w:rsidRPr="00140AD1" w:rsidRDefault="00140AD1" w:rsidP="00537C76">
                  <w:pPr>
                    <w:pStyle w:val="ListParagraph"/>
                    <w:ind w:left="460"/>
                    <w:rPr>
                      <w:rFonts w:ascii="Arial" w:hAnsi="Arial" w:cs="Arial"/>
                      <w:sz w:val="20"/>
                      <w:szCs w:val="20"/>
                    </w:rPr>
                  </w:pPr>
                  <w:proofErr w:type="spellStart"/>
                  <w:r w:rsidRPr="00140AD1">
                    <w:rPr>
                      <w:rFonts w:ascii="Arial" w:hAnsi="Arial" w:cs="Arial"/>
                      <w:b/>
                      <w:bCs/>
                      <w:sz w:val="20"/>
                      <w:szCs w:val="20"/>
                    </w:rPr>
                    <w:t>Gitsels</w:t>
                  </w:r>
                  <w:proofErr w:type="spellEnd"/>
                  <w:r w:rsidRPr="00140AD1">
                    <w:rPr>
                      <w:rFonts w:ascii="Arial" w:hAnsi="Arial" w:cs="Arial"/>
                      <w:b/>
                      <w:bCs/>
                      <w:sz w:val="20"/>
                      <w:szCs w:val="20"/>
                    </w:rPr>
                    <w:t xml:space="preserve"> L.A., Kulinskaya E. </w:t>
                  </w:r>
                  <w:r w:rsidRPr="00140AD1">
                    <w:rPr>
                      <w:rFonts w:ascii="Arial" w:hAnsi="Arial" w:cs="Arial"/>
                      <w:sz w:val="20"/>
                      <w:szCs w:val="20"/>
                    </w:rPr>
                    <w:t>&amp;</w:t>
                  </w:r>
                  <w:r w:rsidRPr="00140AD1">
                    <w:rPr>
                      <w:rFonts w:ascii="Arial" w:hAnsi="Arial" w:cs="Arial"/>
                      <w:b/>
                      <w:bCs/>
                      <w:sz w:val="20"/>
                      <w:szCs w:val="20"/>
                    </w:rPr>
                    <w:t xml:space="preserve"> Steel N</w:t>
                  </w:r>
                  <w:r w:rsidRPr="00140AD1">
                    <w:rPr>
                      <w:rFonts w:ascii="Arial" w:hAnsi="Arial" w:cs="Arial"/>
                      <w:sz w:val="20"/>
                      <w:szCs w:val="20"/>
                    </w:rPr>
                    <w:t xml:space="preserve">. </w:t>
                  </w:r>
                </w:p>
                <w:p w:rsidR="00140AD1" w:rsidRPr="00140AD1" w:rsidRDefault="00140AD1" w:rsidP="00537C76">
                  <w:pPr>
                    <w:pStyle w:val="ListParagraph"/>
                    <w:spacing w:after="120"/>
                    <w:ind w:left="460"/>
                    <w:rPr>
                      <w:rFonts w:ascii="Arial" w:hAnsi="Arial" w:cs="Arial"/>
                      <w:sz w:val="20"/>
                      <w:szCs w:val="20"/>
                    </w:rPr>
                  </w:pPr>
                  <w:r w:rsidRPr="00140AD1">
                    <w:rPr>
                      <w:rFonts w:ascii="Arial" w:hAnsi="Arial" w:cs="Arial"/>
                      <w:sz w:val="20"/>
                      <w:szCs w:val="20"/>
                    </w:rPr>
                    <w:t>(</w:t>
                  </w:r>
                  <w:r w:rsidRPr="00140AD1">
                    <w:rPr>
                      <w:rFonts w:ascii="Arial" w:hAnsi="Arial" w:cs="Arial"/>
                      <w:b/>
                      <w:bCs/>
                      <w:sz w:val="20"/>
                      <w:szCs w:val="20"/>
                    </w:rPr>
                    <w:t>2016</w:t>
                  </w:r>
                  <w:r w:rsidRPr="00140AD1">
                    <w:rPr>
                      <w:rFonts w:ascii="Arial" w:hAnsi="Arial" w:cs="Arial"/>
                      <w:sz w:val="20"/>
                      <w:szCs w:val="20"/>
                    </w:rPr>
                    <w:t xml:space="preserve">) </w:t>
                  </w:r>
                  <w:proofErr w:type="spellStart"/>
                  <w:r w:rsidRPr="00140AD1">
                    <w:rPr>
                      <w:rFonts w:ascii="Arial" w:hAnsi="Arial" w:cs="Arial"/>
                      <w:i/>
                      <w:iCs/>
                      <w:sz w:val="20"/>
                      <w:szCs w:val="20"/>
                    </w:rPr>
                    <w:t>PLoS</w:t>
                  </w:r>
                  <w:proofErr w:type="spellEnd"/>
                  <w:r w:rsidRPr="00140AD1">
                    <w:rPr>
                      <w:rFonts w:ascii="Arial" w:hAnsi="Arial" w:cs="Arial"/>
                      <w:i/>
                      <w:iCs/>
                      <w:sz w:val="20"/>
                      <w:szCs w:val="20"/>
                    </w:rPr>
                    <w:t xml:space="preserve"> ONE</w:t>
                  </w:r>
                  <w:r w:rsidRPr="00140AD1">
                    <w:rPr>
                      <w:rFonts w:ascii="Arial" w:hAnsi="Arial" w:cs="Arial"/>
                      <w:sz w:val="20"/>
                      <w:szCs w:val="20"/>
                    </w:rPr>
                    <w:t xml:space="preserve"> </w:t>
                  </w:r>
                  <w:r w:rsidRPr="00140AD1">
                    <w:rPr>
                      <w:rFonts w:ascii="Arial" w:hAnsi="Arial" w:cs="Arial"/>
                      <w:bCs/>
                      <w:sz w:val="20"/>
                      <w:szCs w:val="20"/>
                    </w:rPr>
                    <w:t>11</w:t>
                  </w:r>
                  <w:r w:rsidRPr="00140AD1">
                    <w:rPr>
                      <w:rFonts w:ascii="Arial" w:hAnsi="Arial" w:cs="Arial"/>
                      <w:sz w:val="20"/>
                      <w:szCs w:val="20"/>
                    </w:rPr>
                    <w:t>(11): e0166847. DOI: 10.1371/journal.pone.0166847</w:t>
                  </w:r>
                </w:p>
                <w:p w:rsidR="00140AD1" w:rsidRPr="00140AD1" w:rsidRDefault="00140AD1" w:rsidP="00140AD1">
                  <w:pPr>
                    <w:pStyle w:val="ListParagraph"/>
                    <w:numPr>
                      <w:ilvl w:val="0"/>
                      <w:numId w:val="5"/>
                    </w:numPr>
                    <w:spacing w:after="0" w:line="240" w:lineRule="auto"/>
                    <w:ind w:left="460" w:hanging="425"/>
                    <w:contextualSpacing w:val="0"/>
                    <w:rPr>
                      <w:rFonts w:ascii="Arial" w:hAnsi="Arial" w:cs="Arial"/>
                      <w:sz w:val="20"/>
                      <w:szCs w:val="20"/>
                    </w:rPr>
                  </w:pPr>
                  <w:r w:rsidRPr="00140AD1">
                    <w:rPr>
                      <w:rFonts w:ascii="Arial" w:hAnsi="Arial" w:cs="Arial"/>
                      <w:sz w:val="20"/>
                      <w:szCs w:val="20"/>
                    </w:rPr>
                    <w:t xml:space="preserve">Survival prospects after acute myocardial infarction in the United Kingdom: a matched cohort study 1987-2011 </w:t>
                  </w:r>
                </w:p>
                <w:p w:rsidR="00140AD1" w:rsidRPr="00140AD1" w:rsidRDefault="00140AD1" w:rsidP="00537C76">
                  <w:pPr>
                    <w:pStyle w:val="ListParagraph"/>
                    <w:ind w:left="460"/>
                    <w:rPr>
                      <w:rFonts w:ascii="Arial" w:hAnsi="Arial" w:cs="Arial"/>
                      <w:b/>
                      <w:bCs/>
                      <w:sz w:val="20"/>
                      <w:szCs w:val="20"/>
                    </w:rPr>
                  </w:pPr>
                  <w:proofErr w:type="spellStart"/>
                  <w:r w:rsidRPr="00140AD1">
                    <w:rPr>
                      <w:rFonts w:ascii="Arial" w:hAnsi="Arial" w:cs="Arial"/>
                      <w:b/>
                      <w:bCs/>
                      <w:sz w:val="20"/>
                      <w:szCs w:val="20"/>
                    </w:rPr>
                    <w:t>Lisanne</w:t>
                  </w:r>
                  <w:proofErr w:type="spellEnd"/>
                  <w:r w:rsidRPr="00140AD1">
                    <w:rPr>
                      <w:rFonts w:ascii="Arial" w:hAnsi="Arial" w:cs="Arial"/>
                      <w:b/>
                      <w:bCs/>
                      <w:sz w:val="20"/>
                      <w:szCs w:val="20"/>
                    </w:rPr>
                    <w:t xml:space="preserve"> </w:t>
                  </w:r>
                  <w:proofErr w:type="spellStart"/>
                  <w:r w:rsidRPr="00140AD1">
                    <w:rPr>
                      <w:rFonts w:ascii="Arial" w:hAnsi="Arial" w:cs="Arial"/>
                      <w:b/>
                      <w:bCs/>
                      <w:sz w:val="20"/>
                      <w:szCs w:val="20"/>
                    </w:rPr>
                    <w:t>Gitsels</w:t>
                  </w:r>
                  <w:proofErr w:type="spellEnd"/>
                  <w:r w:rsidRPr="00140AD1">
                    <w:rPr>
                      <w:rFonts w:ascii="Arial" w:hAnsi="Arial" w:cs="Arial"/>
                      <w:b/>
                      <w:bCs/>
                      <w:sz w:val="20"/>
                      <w:szCs w:val="20"/>
                    </w:rPr>
                    <w:t xml:space="preserve">, Elena Kulinskaya </w:t>
                  </w:r>
                  <w:r w:rsidRPr="00140AD1">
                    <w:rPr>
                      <w:rFonts w:ascii="Arial" w:hAnsi="Arial" w:cs="Arial"/>
                      <w:sz w:val="20"/>
                      <w:szCs w:val="20"/>
                    </w:rPr>
                    <w:t>&amp;</w:t>
                  </w:r>
                  <w:r w:rsidRPr="00140AD1">
                    <w:rPr>
                      <w:rFonts w:ascii="Arial" w:hAnsi="Arial" w:cs="Arial"/>
                      <w:b/>
                      <w:bCs/>
                      <w:sz w:val="20"/>
                      <w:szCs w:val="20"/>
                    </w:rPr>
                    <w:t xml:space="preserve"> Nicholas Steel </w:t>
                  </w:r>
                </w:p>
                <w:p w:rsidR="00140AD1" w:rsidRPr="00140AD1" w:rsidRDefault="00140AD1" w:rsidP="00537C76">
                  <w:pPr>
                    <w:pStyle w:val="ListParagraph"/>
                    <w:spacing w:after="120"/>
                    <w:ind w:left="460"/>
                    <w:rPr>
                      <w:rFonts w:ascii="Arial" w:hAnsi="Arial" w:cs="Arial"/>
                      <w:sz w:val="20"/>
                      <w:szCs w:val="20"/>
                    </w:rPr>
                  </w:pPr>
                  <w:r w:rsidRPr="00140AD1">
                    <w:rPr>
                      <w:rFonts w:ascii="Arial" w:hAnsi="Arial" w:cs="Arial"/>
                      <w:sz w:val="20"/>
                      <w:szCs w:val="20"/>
                    </w:rPr>
                    <w:t>(</w:t>
                  </w:r>
                  <w:r w:rsidRPr="00140AD1">
                    <w:rPr>
                      <w:rFonts w:ascii="Arial" w:hAnsi="Arial" w:cs="Arial"/>
                      <w:b/>
                      <w:bCs/>
                      <w:sz w:val="20"/>
                      <w:szCs w:val="20"/>
                    </w:rPr>
                    <w:t>2017</w:t>
                  </w:r>
                  <w:r w:rsidRPr="00140AD1">
                    <w:rPr>
                      <w:rFonts w:ascii="Arial" w:hAnsi="Arial" w:cs="Arial"/>
                      <w:sz w:val="20"/>
                      <w:szCs w:val="20"/>
                    </w:rPr>
                    <w:t xml:space="preserve">) </w:t>
                  </w:r>
                  <w:r w:rsidRPr="00140AD1">
                    <w:rPr>
                      <w:rFonts w:ascii="Arial" w:hAnsi="Arial" w:cs="Arial"/>
                      <w:i/>
                      <w:iCs/>
                      <w:sz w:val="20"/>
                      <w:szCs w:val="20"/>
                    </w:rPr>
                    <w:t>BMJ Open</w:t>
                  </w:r>
                  <w:r w:rsidRPr="00140AD1">
                    <w:rPr>
                      <w:rFonts w:ascii="Arial" w:hAnsi="Arial" w:cs="Arial"/>
                      <w:sz w:val="20"/>
                      <w:szCs w:val="20"/>
                    </w:rPr>
                    <w:t xml:space="preserve"> 7(1) DOI: 10.1136/bmjopen-2016-013570</w:t>
                  </w:r>
                </w:p>
                <w:p w:rsidR="00140AD1" w:rsidRPr="00140AD1" w:rsidRDefault="00140AD1" w:rsidP="00140AD1">
                  <w:pPr>
                    <w:pStyle w:val="ListParagraph"/>
                    <w:numPr>
                      <w:ilvl w:val="0"/>
                      <w:numId w:val="5"/>
                    </w:numPr>
                    <w:spacing w:after="0" w:line="240" w:lineRule="auto"/>
                    <w:ind w:left="460" w:hanging="425"/>
                    <w:contextualSpacing w:val="0"/>
                    <w:rPr>
                      <w:rFonts w:ascii="Arial" w:hAnsi="Arial" w:cs="Arial"/>
                      <w:sz w:val="20"/>
                      <w:szCs w:val="20"/>
                    </w:rPr>
                  </w:pPr>
                  <w:r w:rsidRPr="00140AD1">
                    <w:rPr>
                      <w:rFonts w:ascii="Arial" w:hAnsi="Arial" w:cs="Arial"/>
                      <w:sz w:val="20"/>
                      <w:szCs w:val="20"/>
                    </w:rPr>
                    <w:t xml:space="preserve">Optimal systolic blood pressure targets in routine clinical care </w:t>
                  </w:r>
                </w:p>
                <w:p w:rsidR="00140AD1" w:rsidRPr="00140AD1" w:rsidRDefault="00140AD1" w:rsidP="00537C76">
                  <w:pPr>
                    <w:pStyle w:val="ListParagraph"/>
                    <w:ind w:left="460"/>
                    <w:rPr>
                      <w:rFonts w:ascii="Arial" w:hAnsi="Arial" w:cs="Arial"/>
                      <w:b/>
                      <w:bCs/>
                      <w:sz w:val="20"/>
                      <w:szCs w:val="20"/>
                    </w:rPr>
                  </w:pPr>
                  <w:proofErr w:type="spellStart"/>
                  <w:r w:rsidRPr="00140AD1">
                    <w:rPr>
                      <w:rFonts w:ascii="Arial" w:hAnsi="Arial" w:cs="Arial"/>
                      <w:b/>
                      <w:bCs/>
                      <w:sz w:val="20"/>
                      <w:szCs w:val="20"/>
                    </w:rPr>
                    <w:t>Gitsels</w:t>
                  </w:r>
                  <w:proofErr w:type="spellEnd"/>
                  <w:r w:rsidRPr="00140AD1">
                    <w:rPr>
                      <w:rFonts w:ascii="Arial" w:hAnsi="Arial" w:cs="Arial"/>
                      <w:b/>
                      <w:bCs/>
                      <w:sz w:val="20"/>
                      <w:szCs w:val="20"/>
                    </w:rPr>
                    <w:t xml:space="preserve"> LA, Kulinskaya E., </w:t>
                  </w:r>
                  <w:proofErr w:type="spellStart"/>
                  <w:r w:rsidRPr="00140AD1">
                    <w:rPr>
                      <w:rFonts w:ascii="Arial" w:hAnsi="Arial" w:cs="Arial"/>
                      <w:b/>
                      <w:bCs/>
                      <w:sz w:val="20"/>
                      <w:szCs w:val="20"/>
                    </w:rPr>
                    <w:t>Bakbergenuly</w:t>
                  </w:r>
                  <w:proofErr w:type="spellEnd"/>
                  <w:r w:rsidRPr="00140AD1">
                    <w:rPr>
                      <w:rFonts w:ascii="Arial" w:hAnsi="Arial" w:cs="Arial"/>
                      <w:b/>
                      <w:bCs/>
                      <w:sz w:val="20"/>
                      <w:szCs w:val="20"/>
                    </w:rPr>
                    <w:t xml:space="preserve">, I. </w:t>
                  </w:r>
                  <w:r w:rsidRPr="00140AD1">
                    <w:rPr>
                      <w:rFonts w:ascii="Arial" w:hAnsi="Arial" w:cs="Arial"/>
                      <w:sz w:val="20"/>
                      <w:szCs w:val="20"/>
                    </w:rPr>
                    <w:t>&amp;</w:t>
                  </w:r>
                  <w:r w:rsidRPr="00140AD1">
                    <w:rPr>
                      <w:rFonts w:ascii="Arial" w:hAnsi="Arial" w:cs="Arial"/>
                      <w:b/>
                      <w:bCs/>
                      <w:sz w:val="20"/>
                      <w:szCs w:val="20"/>
                    </w:rPr>
                    <w:t xml:space="preserve"> Steel N. </w:t>
                  </w:r>
                </w:p>
                <w:p w:rsidR="00140AD1" w:rsidRPr="00140AD1" w:rsidRDefault="00140AD1" w:rsidP="00537C76">
                  <w:pPr>
                    <w:pStyle w:val="ListParagraph"/>
                    <w:ind w:left="460"/>
                    <w:rPr>
                      <w:rFonts w:ascii="Arial" w:hAnsi="Arial" w:cs="Arial"/>
                      <w:sz w:val="20"/>
                      <w:szCs w:val="20"/>
                    </w:rPr>
                  </w:pPr>
                  <w:r w:rsidRPr="00140AD1">
                    <w:rPr>
                      <w:rFonts w:ascii="Arial" w:hAnsi="Arial" w:cs="Arial"/>
                      <w:sz w:val="20"/>
                      <w:szCs w:val="20"/>
                    </w:rPr>
                    <w:t>(</w:t>
                  </w:r>
                  <w:r w:rsidRPr="00140AD1">
                    <w:rPr>
                      <w:rFonts w:ascii="Arial" w:hAnsi="Arial" w:cs="Arial"/>
                      <w:b/>
                      <w:bCs/>
                      <w:sz w:val="20"/>
                      <w:szCs w:val="20"/>
                    </w:rPr>
                    <w:t>2018</w:t>
                  </w:r>
                  <w:r w:rsidRPr="00140AD1">
                    <w:rPr>
                      <w:rFonts w:ascii="Arial" w:hAnsi="Arial" w:cs="Arial"/>
                      <w:sz w:val="20"/>
                      <w:szCs w:val="20"/>
                    </w:rPr>
                    <w:t xml:space="preserve">) </w:t>
                  </w:r>
                  <w:r w:rsidRPr="00140AD1">
                    <w:rPr>
                      <w:rFonts w:ascii="Arial" w:hAnsi="Arial" w:cs="Arial"/>
                      <w:i/>
                      <w:iCs/>
                      <w:sz w:val="20"/>
                      <w:szCs w:val="20"/>
                    </w:rPr>
                    <w:t>Journal of Hypertension</w:t>
                  </w:r>
                  <w:r w:rsidRPr="00140AD1">
                    <w:rPr>
                      <w:rFonts w:ascii="Arial" w:hAnsi="Arial" w:cs="Arial"/>
                      <w:sz w:val="20"/>
                      <w:szCs w:val="20"/>
                    </w:rPr>
                    <w:t xml:space="preserve">, 2019, 37:837–843 </w:t>
                  </w:r>
                </w:p>
                <w:p w:rsidR="00140AD1" w:rsidRPr="00140AD1" w:rsidRDefault="00140AD1" w:rsidP="00537C76">
                  <w:pPr>
                    <w:pStyle w:val="ListParagraph"/>
                    <w:spacing w:after="120"/>
                    <w:ind w:left="460"/>
                    <w:rPr>
                      <w:rFonts w:ascii="Arial" w:hAnsi="Arial" w:cs="Arial"/>
                      <w:sz w:val="20"/>
                      <w:szCs w:val="20"/>
                    </w:rPr>
                  </w:pPr>
                  <w:r w:rsidRPr="00140AD1">
                    <w:rPr>
                      <w:rFonts w:ascii="Arial" w:hAnsi="Arial" w:cs="Arial"/>
                      <w:sz w:val="20"/>
                      <w:szCs w:val="20"/>
                    </w:rPr>
                    <w:t>DOI: 10.1097/HJH.0000000000001947</w:t>
                  </w:r>
                </w:p>
                <w:p w:rsidR="00140AD1" w:rsidRPr="00140AD1" w:rsidRDefault="00140AD1" w:rsidP="00140AD1">
                  <w:pPr>
                    <w:pStyle w:val="ListParagraph"/>
                    <w:numPr>
                      <w:ilvl w:val="0"/>
                      <w:numId w:val="5"/>
                    </w:numPr>
                    <w:spacing w:after="0" w:line="240" w:lineRule="auto"/>
                    <w:ind w:left="460" w:hanging="425"/>
                    <w:contextualSpacing w:val="0"/>
                    <w:rPr>
                      <w:rFonts w:ascii="Arial" w:hAnsi="Arial" w:cs="Arial"/>
                      <w:sz w:val="20"/>
                      <w:szCs w:val="20"/>
                    </w:rPr>
                  </w:pPr>
                  <w:r w:rsidRPr="00140AD1">
                    <w:rPr>
                      <w:rFonts w:ascii="Arial" w:hAnsi="Arial" w:cs="Arial"/>
                      <w:sz w:val="20"/>
                      <w:szCs w:val="20"/>
                    </w:rPr>
                    <w:t>How Medical Advances and Health Interventions Will Shape Future Longevity</w:t>
                  </w:r>
                </w:p>
                <w:p w:rsidR="00140AD1" w:rsidRPr="00140AD1" w:rsidRDefault="00140AD1" w:rsidP="00537C76">
                  <w:pPr>
                    <w:pStyle w:val="ListParagraph"/>
                    <w:ind w:left="460"/>
                    <w:rPr>
                      <w:rFonts w:ascii="Arial" w:hAnsi="Arial" w:cs="Arial"/>
                      <w:sz w:val="20"/>
                      <w:szCs w:val="20"/>
                    </w:rPr>
                  </w:pPr>
                  <w:r w:rsidRPr="00140AD1">
                    <w:rPr>
                      <w:rFonts w:ascii="Arial" w:hAnsi="Arial" w:cs="Arial"/>
                      <w:sz w:val="20"/>
                      <w:szCs w:val="20"/>
                    </w:rPr>
                    <w:t>Sessional paper and presentation, IFoA, Edinburgh, June 25 2018</w:t>
                  </w:r>
                </w:p>
                <w:p w:rsidR="00140AD1" w:rsidRPr="00140AD1" w:rsidRDefault="00140AD1" w:rsidP="00537C76">
                  <w:pPr>
                    <w:pStyle w:val="ListParagraph"/>
                    <w:ind w:left="460"/>
                    <w:rPr>
                      <w:rFonts w:ascii="Arial" w:hAnsi="Arial" w:cs="Arial"/>
                      <w:b/>
                      <w:bCs/>
                      <w:sz w:val="20"/>
                      <w:szCs w:val="20"/>
                    </w:rPr>
                  </w:pPr>
                  <w:proofErr w:type="spellStart"/>
                  <w:r w:rsidRPr="00140AD1">
                    <w:rPr>
                      <w:rFonts w:ascii="Arial" w:hAnsi="Arial" w:cs="Arial"/>
                      <w:b/>
                      <w:bCs/>
                      <w:sz w:val="20"/>
                      <w:szCs w:val="20"/>
                    </w:rPr>
                    <w:t>Gitsels</w:t>
                  </w:r>
                  <w:proofErr w:type="spellEnd"/>
                  <w:r w:rsidRPr="00140AD1">
                    <w:rPr>
                      <w:rFonts w:ascii="Arial" w:hAnsi="Arial" w:cs="Arial"/>
                      <w:b/>
                      <w:bCs/>
                      <w:sz w:val="20"/>
                      <w:szCs w:val="20"/>
                    </w:rPr>
                    <w:t xml:space="preserve"> LA, Kulinskaya E</w:t>
                  </w:r>
                  <w:r w:rsidRPr="00140AD1">
                    <w:rPr>
                      <w:rFonts w:ascii="Arial" w:hAnsi="Arial" w:cs="Arial"/>
                      <w:sz w:val="20"/>
                      <w:szCs w:val="20"/>
                    </w:rPr>
                    <w:t xml:space="preserve">. &amp; </w:t>
                  </w:r>
                  <w:r w:rsidRPr="00140AD1">
                    <w:rPr>
                      <w:rFonts w:ascii="Arial" w:hAnsi="Arial" w:cs="Arial"/>
                      <w:b/>
                      <w:bCs/>
                      <w:sz w:val="20"/>
                      <w:szCs w:val="20"/>
                    </w:rPr>
                    <w:t>Wright N.</w:t>
                  </w:r>
                </w:p>
                <w:p w:rsidR="00140AD1" w:rsidRPr="00140AD1" w:rsidRDefault="00140AD1" w:rsidP="00537C76">
                  <w:pPr>
                    <w:pStyle w:val="ListParagraph"/>
                    <w:spacing w:after="120"/>
                    <w:ind w:left="460"/>
                    <w:rPr>
                      <w:rFonts w:ascii="Arial" w:hAnsi="Arial" w:cs="Arial"/>
                      <w:sz w:val="20"/>
                      <w:szCs w:val="20"/>
                    </w:rPr>
                  </w:pPr>
                  <w:r w:rsidRPr="00140AD1">
                    <w:rPr>
                      <w:rFonts w:ascii="Arial" w:hAnsi="Arial" w:cs="Arial"/>
                      <w:sz w:val="20"/>
                      <w:szCs w:val="20"/>
                    </w:rPr>
                    <w:t>(</w:t>
                  </w:r>
                  <w:r w:rsidRPr="00140AD1">
                    <w:rPr>
                      <w:rFonts w:ascii="Arial" w:hAnsi="Arial" w:cs="Arial"/>
                      <w:b/>
                      <w:bCs/>
                      <w:sz w:val="20"/>
                      <w:szCs w:val="20"/>
                    </w:rPr>
                    <w:t>2019</w:t>
                  </w:r>
                  <w:r w:rsidRPr="00140AD1">
                    <w:rPr>
                      <w:rFonts w:ascii="Arial" w:hAnsi="Arial" w:cs="Arial"/>
                      <w:sz w:val="20"/>
                      <w:szCs w:val="20"/>
                    </w:rPr>
                    <w:t xml:space="preserve">) </w:t>
                  </w:r>
                  <w:r w:rsidRPr="00140AD1">
                    <w:rPr>
                      <w:rFonts w:ascii="Arial" w:hAnsi="Arial" w:cs="Arial"/>
                      <w:i/>
                      <w:iCs/>
                      <w:sz w:val="20"/>
                      <w:szCs w:val="20"/>
                    </w:rPr>
                    <w:t>British Actuarial Journal</w:t>
                  </w:r>
                  <w:r w:rsidRPr="00140AD1">
                    <w:rPr>
                      <w:rFonts w:ascii="Arial" w:hAnsi="Arial" w:cs="Arial"/>
                      <w:sz w:val="20"/>
                      <w:szCs w:val="20"/>
                    </w:rPr>
                    <w:t>, DOI: 10.1017/S1357321719000059</w:t>
                  </w:r>
                </w:p>
                <w:p w:rsidR="00140AD1" w:rsidRPr="00140AD1" w:rsidRDefault="00140AD1" w:rsidP="00140AD1">
                  <w:pPr>
                    <w:pStyle w:val="ListParagraph"/>
                    <w:numPr>
                      <w:ilvl w:val="0"/>
                      <w:numId w:val="5"/>
                    </w:numPr>
                    <w:spacing w:after="0" w:line="240" w:lineRule="auto"/>
                    <w:ind w:left="453" w:hanging="425"/>
                    <w:contextualSpacing w:val="0"/>
                    <w:rPr>
                      <w:rFonts w:ascii="Arial" w:hAnsi="Arial" w:cs="Arial"/>
                      <w:sz w:val="20"/>
                      <w:szCs w:val="20"/>
                    </w:rPr>
                  </w:pPr>
                  <w:r w:rsidRPr="00140AD1">
                    <w:rPr>
                      <w:rFonts w:ascii="Arial" w:hAnsi="Arial" w:cs="Arial"/>
                      <w:color w:val="000000"/>
                      <w:sz w:val="20"/>
                      <w:szCs w:val="20"/>
                    </w:rPr>
                    <w:t>Calculation of changes in individual and period life expectancy based on proportional hazards model of an intervention.</w:t>
                  </w:r>
                </w:p>
                <w:p w:rsidR="00140AD1" w:rsidRPr="00140AD1" w:rsidRDefault="00140AD1" w:rsidP="00537C76">
                  <w:pPr>
                    <w:spacing w:line="240" w:lineRule="auto"/>
                    <w:ind w:left="453"/>
                    <w:rPr>
                      <w:rStyle w:val="Hyperlink"/>
                      <w:rFonts w:ascii="Arial" w:hAnsi="Arial" w:cs="Arial"/>
                      <w:color w:val="0C7DBB"/>
                      <w:sz w:val="20"/>
                      <w:szCs w:val="20"/>
                    </w:rPr>
                  </w:pPr>
                  <w:r w:rsidRPr="00140AD1">
                    <w:rPr>
                      <w:rFonts w:ascii="Arial" w:hAnsi="Arial" w:cs="Arial"/>
                      <w:color w:val="000000"/>
                      <w:sz w:val="20"/>
                      <w:szCs w:val="20"/>
                    </w:rPr>
                    <w:t xml:space="preserve">Kulinskaya E., </w:t>
                  </w:r>
                  <w:proofErr w:type="spellStart"/>
                  <w:r w:rsidRPr="00140AD1">
                    <w:rPr>
                      <w:rFonts w:ascii="Arial" w:hAnsi="Arial" w:cs="Arial"/>
                      <w:color w:val="000000"/>
                      <w:sz w:val="20"/>
                      <w:szCs w:val="20"/>
                    </w:rPr>
                    <w:t>Gitsels</w:t>
                  </w:r>
                  <w:proofErr w:type="spellEnd"/>
                  <w:r w:rsidRPr="00140AD1">
                    <w:rPr>
                      <w:rFonts w:ascii="Arial" w:hAnsi="Arial" w:cs="Arial"/>
                      <w:color w:val="000000"/>
                      <w:sz w:val="20"/>
                      <w:szCs w:val="20"/>
                    </w:rPr>
                    <w:t xml:space="preserve">, LA., </w:t>
                  </w:r>
                  <w:proofErr w:type="spellStart"/>
                  <w:r w:rsidRPr="00140AD1">
                    <w:rPr>
                      <w:rFonts w:ascii="Arial" w:hAnsi="Arial" w:cs="Arial"/>
                      <w:color w:val="000000"/>
                      <w:sz w:val="20"/>
                      <w:szCs w:val="20"/>
                    </w:rPr>
                    <w:t>Bakbergenuly</w:t>
                  </w:r>
                  <w:proofErr w:type="spellEnd"/>
                  <w:r w:rsidRPr="00140AD1">
                    <w:rPr>
                      <w:rFonts w:ascii="Arial" w:hAnsi="Arial" w:cs="Arial"/>
                      <w:color w:val="000000"/>
                      <w:sz w:val="20"/>
                      <w:szCs w:val="20"/>
                    </w:rPr>
                    <w:t>, I. and Wright N.R</w:t>
                  </w:r>
                  <w:r w:rsidRPr="00140AD1">
                    <w:rPr>
                      <w:rFonts w:ascii="Arial" w:hAnsi="Arial" w:cs="Arial"/>
                      <w:i/>
                      <w:iCs/>
                      <w:color w:val="000000"/>
                      <w:sz w:val="20"/>
                      <w:szCs w:val="20"/>
                    </w:rPr>
                    <w:t xml:space="preserve"> Insurance Mathematics and Economics</w:t>
                  </w:r>
                  <w:r w:rsidRPr="00140AD1">
                    <w:rPr>
                      <w:rStyle w:val="apple-converted-space"/>
                      <w:rFonts w:ascii="Arial" w:hAnsi="Arial" w:cs="Arial"/>
                      <w:color w:val="000000"/>
                      <w:sz w:val="20"/>
                      <w:szCs w:val="20"/>
                    </w:rPr>
                    <w:t> </w:t>
                  </w:r>
                  <w:r w:rsidRPr="00140AD1">
                    <w:rPr>
                      <w:rFonts w:ascii="Arial" w:hAnsi="Arial" w:cs="Arial"/>
                      <w:color w:val="000000"/>
                      <w:sz w:val="20"/>
                      <w:szCs w:val="20"/>
                    </w:rPr>
                    <w:t>2020, 93, 27-35</w:t>
                  </w:r>
                  <w:r w:rsidR="00190872">
                    <w:rPr>
                      <w:rFonts w:ascii="Arial" w:hAnsi="Arial" w:cs="Arial"/>
                      <w:color w:val="000000"/>
                      <w:sz w:val="20"/>
                      <w:szCs w:val="20"/>
                    </w:rPr>
                    <w:t xml:space="preserve"> </w:t>
                  </w:r>
                  <w:r w:rsidRPr="00140AD1">
                    <w:rPr>
                      <w:rStyle w:val="apple-converted-space"/>
                      <w:rFonts w:ascii="Arial" w:hAnsi="Arial" w:cs="Arial"/>
                      <w:color w:val="000000"/>
                      <w:sz w:val="20"/>
                      <w:szCs w:val="20"/>
                    </w:rPr>
                    <w:t> </w:t>
                  </w:r>
                  <w:hyperlink r:id="rId5" w:tgtFrame="_blank" w:tooltip="Original URL:&#10;https://doi.org/10.1016/j.insmatheco.2020.04.006&#10;&#10;Click to follow link." w:history="1">
                    <w:r w:rsidRPr="00140AD1">
                      <w:rPr>
                        <w:rStyle w:val="Hyperlink"/>
                        <w:rFonts w:ascii="Arial" w:hAnsi="Arial" w:cs="Arial"/>
                        <w:color w:val="0C7DBB"/>
                        <w:sz w:val="20"/>
                        <w:szCs w:val="20"/>
                      </w:rPr>
                      <w:t>https://doi.org/10.1016/j.insmatheco.2020.04.006</w:t>
                    </w:r>
                  </w:hyperlink>
                </w:p>
                <w:p w:rsidR="00140AD1" w:rsidRPr="00140AD1" w:rsidRDefault="00140AD1" w:rsidP="00140AD1">
                  <w:pPr>
                    <w:pStyle w:val="ListParagraph"/>
                    <w:numPr>
                      <w:ilvl w:val="0"/>
                      <w:numId w:val="5"/>
                    </w:numPr>
                    <w:spacing w:after="0" w:line="240" w:lineRule="auto"/>
                    <w:ind w:left="460" w:hanging="425"/>
                    <w:contextualSpacing w:val="0"/>
                    <w:rPr>
                      <w:rFonts w:ascii="Arial" w:hAnsi="Arial" w:cs="Arial"/>
                      <w:sz w:val="20"/>
                      <w:szCs w:val="20"/>
                    </w:rPr>
                  </w:pPr>
                  <w:r w:rsidRPr="00140AD1">
                    <w:rPr>
                      <w:rFonts w:ascii="Arial" w:hAnsi="Arial" w:cs="Arial"/>
                      <w:sz w:val="20"/>
                      <w:szCs w:val="20"/>
                    </w:rPr>
                    <w:t>Risk-adjusted CUSUM control charts for shared frailty survival models with application to hip replacement outcomes: a study using the NJR dataset</w:t>
                  </w:r>
                </w:p>
                <w:p w:rsidR="00140AD1" w:rsidRPr="00140AD1" w:rsidRDefault="00140AD1" w:rsidP="00537C76">
                  <w:pPr>
                    <w:pStyle w:val="ListParagraph"/>
                    <w:ind w:left="460"/>
                    <w:rPr>
                      <w:rFonts w:ascii="Arial" w:hAnsi="Arial" w:cs="Arial"/>
                      <w:b/>
                      <w:bCs/>
                      <w:sz w:val="20"/>
                      <w:szCs w:val="20"/>
                    </w:rPr>
                  </w:pPr>
                  <w:r w:rsidRPr="00140AD1">
                    <w:rPr>
                      <w:rFonts w:ascii="Arial" w:hAnsi="Arial" w:cs="Arial"/>
                      <w:b/>
                      <w:bCs/>
                      <w:sz w:val="20"/>
                      <w:szCs w:val="20"/>
                    </w:rPr>
                    <w:t xml:space="preserve">Begun, A., Kulinskaya, E. </w:t>
                  </w:r>
                  <w:r w:rsidRPr="00140AD1">
                    <w:rPr>
                      <w:rFonts w:ascii="Arial" w:hAnsi="Arial" w:cs="Arial"/>
                      <w:sz w:val="20"/>
                      <w:szCs w:val="20"/>
                    </w:rPr>
                    <w:t>&amp;</w:t>
                  </w:r>
                  <w:r w:rsidRPr="00140AD1">
                    <w:rPr>
                      <w:rFonts w:ascii="Arial" w:hAnsi="Arial" w:cs="Arial"/>
                      <w:b/>
                      <w:bCs/>
                      <w:sz w:val="20"/>
                      <w:szCs w:val="20"/>
                    </w:rPr>
                    <w:t xml:space="preserve"> MacGregor, A.J.</w:t>
                  </w:r>
                </w:p>
                <w:p w:rsidR="00140AD1" w:rsidRPr="00140AD1" w:rsidRDefault="00140AD1" w:rsidP="00537C76">
                  <w:pPr>
                    <w:pStyle w:val="ListParagraph"/>
                    <w:ind w:left="460"/>
                    <w:rPr>
                      <w:rFonts w:ascii="Arial" w:hAnsi="Arial" w:cs="Arial"/>
                      <w:sz w:val="20"/>
                      <w:szCs w:val="20"/>
                    </w:rPr>
                  </w:pPr>
                  <w:r w:rsidRPr="00140AD1">
                    <w:rPr>
                      <w:rFonts w:ascii="Arial" w:hAnsi="Arial" w:cs="Arial"/>
                      <w:sz w:val="20"/>
                      <w:szCs w:val="20"/>
                    </w:rPr>
                    <w:t>(</w:t>
                  </w:r>
                  <w:r w:rsidRPr="00140AD1">
                    <w:rPr>
                      <w:rFonts w:ascii="Arial" w:hAnsi="Arial" w:cs="Arial"/>
                      <w:b/>
                      <w:bCs/>
                      <w:sz w:val="20"/>
                      <w:szCs w:val="20"/>
                    </w:rPr>
                    <w:t>2019</w:t>
                  </w:r>
                  <w:r w:rsidRPr="00140AD1">
                    <w:rPr>
                      <w:rFonts w:ascii="Arial" w:hAnsi="Arial" w:cs="Arial"/>
                      <w:sz w:val="20"/>
                      <w:szCs w:val="20"/>
                    </w:rPr>
                    <w:t xml:space="preserve">) </w:t>
                  </w:r>
                  <w:r w:rsidRPr="00140AD1">
                    <w:rPr>
                      <w:rFonts w:ascii="Arial" w:hAnsi="Arial" w:cs="Arial"/>
                      <w:i/>
                      <w:iCs/>
                      <w:sz w:val="20"/>
                      <w:szCs w:val="20"/>
                    </w:rPr>
                    <w:t>BMC Medical Research Methodology</w:t>
                  </w:r>
                  <w:r w:rsidRPr="00140AD1">
                    <w:rPr>
                      <w:rFonts w:ascii="Arial" w:hAnsi="Arial" w:cs="Arial"/>
                      <w:sz w:val="20"/>
                      <w:szCs w:val="20"/>
                    </w:rPr>
                    <w:t xml:space="preserve"> 19, 217. </w:t>
                  </w:r>
                </w:p>
                <w:p w:rsidR="00140AD1" w:rsidRPr="00140AD1" w:rsidRDefault="00140AD1" w:rsidP="00537C76">
                  <w:pPr>
                    <w:pStyle w:val="ListParagraph"/>
                    <w:ind w:left="460"/>
                    <w:rPr>
                      <w:rFonts w:ascii="Arial" w:hAnsi="Arial" w:cs="Arial"/>
                      <w:sz w:val="20"/>
                      <w:szCs w:val="20"/>
                    </w:rPr>
                  </w:pPr>
                  <w:r w:rsidRPr="00140AD1">
                    <w:rPr>
                      <w:rFonts w:ascii="Arial" w:hAnsi="Arial" w:cs="Arial"/>
                      <w:sz w:val="20"/>
                      <w:szCs w:val="20"/>
                    </w:rPr>
                    <w:t xml:space="preserve">DOI: 10.1186/s12874-019-0853-2 </w:t>
                  </w:r>
                </w:p>
                <w:p w:rsidR="00140AD1" w:rsidRPr="00140AD1" w:rsidRDefault="00140AD1" w:rsidP="00190872">
                  <w:pPr>
                    <w:spacing w:line="240" w:lineRule="auto"/>
                    <w:rPr>
                      <w:rFonts w:ascii="Arial" w:hAnsi="Arial" w:cs="Arial"/>
                      <w:sz w:val="20"/>
                      <w:szCs w:val="20"/>
                    </w:rPr>
                  </w:pPr>
                </w:p>
              </w:tc>
            </w:tr>
            <w:tr w:rsidR="00140AD1" w:rsidRPr="00140AD1" w:rsidTr="00190872">
              <w:tc>
                <w:tcPr>
                  <w:tcW w:w="5000" w:type="pct"/>
                </w:tcPr>
                <w:p w:rsidR="00140AD1" w:rsidRPr="00140AD1" w:rsidRDefault="00140AD1" w:rsidP="00537C76">
                  <w:pPr>
                    <w:spacing w:after="120" w:line="240" w:lineRule="auto"/>
                    <w:jc w:val="both"/>
                    <w:rPr>
                      <w:rFonts w:ascii="Arial" w:hAnsi="Arial" w:cs="Arial"/>
                      <w:b/>
                      <w:sz w:val="20"/>
                      <w:szCs w:val="20"/>
                    </w:rPr>
                  </w:pPr>
                  <w:r w:rsidRPr="00140AD1">
                    <w:rPr>
                      <w:rFonts w:ascii="Arial" w:hAnsi="Arial" w:cs="Arial"/>
                      <w:b/>
                      <w:sz w:val="20"/>
                      <w:szCs w:val="20"/>
                    </w:rPr>
                    <w:t xml:space="preserve">4. Details of the impact </w:t>
                  </w:r>
                </w:p>
                <w:p w:rsidR="00140AD1" w:rsidRPr="00140AD1" w:rsidRDefault="00140AD1" w:rsidP="00537C76">
                  <w:pPr>
                    <w:pStyle w:val="PlainText"/>
                    <w:jc w:val="both"/>
                    <w:rPr>
                      <w:rFonts w:ascii="Arial" w:hAnsi="Arial" w:cs="Arial"/>
                      <w:sz w:val="20"/>
                      <w:szCs w:val="20"/>
                    </w:rPr>
                  </w:pPr>
                  <w:r w:rsidRPr="00140AD1">
                    <w:rPr>
                      <w:rFonts w:ascii="Arial" w:hAnsi="Arial" w:cs="Arial"/>
                      <w:sz w:val="20"/>
                      <w:szCs w:val="20"/>
                    </w:rPr>
                    <w:t>Our research has had impact in the following three areas.</w:t>
                  </w:r>
                </w:p>
                <w:p w:rsidR="00140AD1" w:rsidRPr="00140AD1" w:rsidRDefault="00140AD1" w:rsidP="00537C76">
                  <w:pPr>
                    <w:pStyle w:val="PlainText"/>
                    <w:jc w:val="both"/>
                    <w:rPr>
                      <w:rFonts w:ascii="Arial" w:hAnsi="Arial" w:cs="Arial"/>
                      <w:bCs/>
                      <w:sz w:val="20"/>
                      <w:szCs w:val="20"/>
                    </w:rPr>
                  </w:pPr>
                </w:p>
                <w:p w:rsidR="00140AD1" w:rsidRPr="00140AD1" w:rsidRDefault="00140AD1" w:rsidP="00537C76">
                  <w:pPr>
                    <w:pStyle w:val="PlainText"/>
                    <w:jc w:val="both"/>
                    <w:rPr>
                      <w:rFonts w:ascii="Arial" w:hAnsi="Arial" w:cs="Arial"/>
                      <w:b/>
                      <w:bCs/>
                      <w:sz w:val="20"/>
                      <w:szCs w:val="20"/>
                    </w:rPr>
                  </w:pPr>
                  <w:r w:rsidRPr="00140AD1">
                    <w:rPr>
                      <w:rFonts w:ascii="Arial" w:hAnsi="Arial" w:cs="Arial"/>
                      <w:b/>
                      <w:color w:val="000000"/>
                      <w:sz w:val="20"/>
                      <w:szCs w:val="20"/>
                    </w:rPr>
                    <w:t xml:space="preserve">1. Improved pricing and reserving within the insurance and pensions sector </w:t>
                  </w:r>
                </w:p>
                <w:p w:rsidR="00140AD1" w:rsidRPr="00140AD1" w:rsidRDefault="00140AD1" w:rsidP="00537C76">
                  <w:pPr>
                    <w:pStyle w:val="paragraph"/>
                    <w:spacing w:before="0" w:beforeAutospacing="0" w:after="0" w:afterAutospacing="0"/>
                    <w:jc w:val="both"/>
                    <w:textAlignment w:val="baseline"/>
                    <w:rPr>
                      <w:rFonts w:ascii="Arial" w:hAnsi="Arial" w:cs="Arial"/>
                      <w:sz w:val="20"/>
                      <w:szCs w:val="20"/>
                    </w:rPr>
                  </w:pPr>
                  <w:r w:rsidRPr="00140AD1">
                    <w:rPr>
                      <w:rFonts w:ascii="Arial" w:hAnsi="Arial" w:cs="Arial"/>
                      <w:sz w:val="20"/>
                      <w:szCs w:val="20"/>
                    </w:rPr>
                    <w:t xml:space="preserve">We ensure that our research findings and methodologies are utilised by actuaries through our involvement the IFoA, UK’s only chartered professional body dedicated to the education, development and regulation of actuaries both in the UK, and internationally, representing and regulating over 30,000 members worldwide. This involvement has primarily been through education and professional training. The Chair of the </w:t>
                  </w:r>
                  <w:r w:rsidRPr="00140AD1">
                    <w:rPr>
                      <w:rStyle w:val="normaltextrun"/>
                      <w:rFonts w:ascii="Arial" w:hAnsi="Arial" w:cs="Arial"/>
                      <w:sz w:val="20"/>
                      <w:szCs w:val="20"/>
                    </w:rPr>
                    <w:t xml:space="preserve">Research and Thought Leadership Board at the </w:t>
                  </w:r>
                  <w:r w:rsidRPr="00140AD1">
                    <w:rPr>
                      <w:rFonts w:ascii="Arial" w:hAnsi="Arial" w:cs="Arial"/>
                      <w:sz w:val="20"/>
                      <w:szCs w:val="20"/>
                    </w:rPr>
                    <w:t>IFoA has stated:</w:t>
                  </w:r>
                </w:p>
                <w:p w:rsidR="00140AD1" w:rsidRPr="00140AD1" w:rsidRDefault="00140AD1" w:rsidP="00537C76">
                  <w:pPr>
                    <w:spacing w:line="240" w:lineRule="auto"/>
                    <w:ind w:left="720"/>
                    <w:jc w:val="both"/>
                    <w:rPr>
                      <w:rFonts w:ascii="Arial" w:hAnsi="Arial" w:cs="Arial"/>
                      <w:sz w:val="20"/>
                      <w:szCs w:val="20"/>
                    </w:rPr>
                  </w:pPr>
                  <w:r w:rsidRPr="00140AD1">
                    <w:rPr>
                      <w:rStyle w:val="normaltextrun"/>
                      <w:rFonts w:ascii="Arial" w:hAnsi="Arial" w:cs="Arial"/>
                      <w:color w:val="000000"/>
                      <w:sz w:val="20"/>
                      <w:szCs w:val="20"/>
                      <w:shd w:val="clear" w:color="auto" w:fill="FFFFFF"/>
                    </w:rPr>
                    <w:t xml:space="preserve">“The research undertaken by Professor Elena Kulinskaya and her team at the University of East Anglia into understanding longevity and morbidity is a key component of our work to ensure that all members maintain their competence through a programme of Continuing Professional Development (CPD).” </w:t>
                  </w:r>
                  <w:r w:rsidRPr="00140AD1">
                    <w:rPr>
                      <w:rFonts w:ascii="Arial" w:hAnsi="Arial" w:cs="Arial"/>
                      <w:sz w:val="20"/>
                      <w:szCs w:val="20"/>
                    </w:rPr>
                    <w:t>[</w:t>
                  </w:r>
                  <w:r w:rsidRPr="00190872">
                    <w:rPr>
                      <w:rFonts w:ascii="Arial" w:hAnsi="Arial" w:cs="Arial"/>
                      <w:sz w:val="20"/>
                      <w:szCs w:val="20"/>
                    </w:rPr>
                    <w:t>Source A</w:t>
                  </w:r>
                  <w:r w:rsidRPr="00140AD1">
                    <w:rPr>
                      <w:rFonts w:ascii="Arial" w:hAnsi="Arial" w:cs="Arial"/>
                      <w:sz w:val="20"/>
                      <w:szCs w:val="20"/>
                    </w:rPr>
                    <w:t xml:space="preserve">]. </w:t>
                  </w:r>
                </w:p>
                <w:p w:rsidR="00140AD1" w:rsidRPr="00140AD1" w:rsidRDefault="00140AD1" w:rsidP="00537C76">
                  <w:pPr>
                    <w:pStyle w:val="PlainText"/>
                    <w:jc w:val="both"/>
                    <w:rPr>
                      <w:rFonts w:ascii="Arial" w:hAnsi="Arial" w:cs="Arial"/>
                      <w:sz w:val="20"/>
                      <w:szCs w:val="20"/>
                    </w:rPr>
                  </w:pPr>
                </w:p>
                <w:p w:rsidR="00140AD1" w:rsidRPr="00140AD1" w:rsidRDefault="00140AD1" w:rsidP="00537C76">
                  <w:pPr>
                    <w:pStyle w:val="PlainText"/>
                    <w:jc w:val="both"/>
                    <w:rPr>
                      <w:rFonts w:ascii="Arial" w:hAnsi="Arial" w:cs="Arial"/>
                      <w:sz w:val="20"/>
                      <w:szCs w:val="20"/>
                    </w:rPr>
                  </w:pPr>
                  <w:r w:rsidRPr="00140AD1">
                    <w:rPr>
                      <w:rFonts w:ascii="Arial" w:hAnsi="Arial" w:cs="Arial"/>
                      <w:sz w:val="20"/>
                      <w:szCs w:val="20"/>
                    </w:rPr>
                    <w:t>Examples of our impact through the IFoA CPD programme include:</w:t>
                  </w:r>
                </w:p>
                <w:p w:rsidR="00140AD1" w:rsidRPr="00366B4E" w:rsidRDefault="00140AD1" w:rsidP="00140AD1">
                  <w:pPr>
                    <w:pStyle w:val="ListParagraph"/>
                    <w:numPr>
                      <w:ilvl w:val="0"/>
                      <w:numId w:val="3"/>
                    </w:numPr>
                    <w:spacing w:after="0" w:line="240" w:lineRule="auto"/>
                    <w:ind w:left="459" w:hanging="357"/>
                    <w:contextualSpacing w:val="0"/>
                    <w:jc w:val="both"/>
                    <w:textAlignment w:val="top"/>
                    <w:rPr>
                      <w:rFonts w:ascii="Arial" w:hAnsi="Arial" w:cs="Arial"/>
                      <w:color w:val="000000"/>
                      <w:sz w:val="20"/>
                      <w:szCs w:val="20"/>
                    </w:rPr>
                  </w:pPr>
                  <w:r w:rsidRPr="00140AD1">
                    <w:rPr>
                      <w:rFonts w:ascii="Arial" w:hAnsi="Arial" w:cs="Arial"/>
                      <w:sz w:val="20"/>
                      <w:szCs w:val="20"/>
                    </w:rPr>
                    <w:t>Y</w:t>
                  </w:r>
                  <w:r w:rsidRPr="00140AD1">
                    <w:rPr>
                      <w:rFonts w:ascii="Arial" w:eastAsia="Calibri" w:hAnsi="Arial" w:cs="Arial"/>
                      <w:color w:val="000000"/>
                      <w:sz w:val="20"/>
                      <w:szCs w:val="20"/>
                    </w:rPr>
                    <w:t xml:space="preserve">early webinars to actuaries in the UK and overseas where the </w:t>
                  </w:r>
                  <w:r w:rsidRPr="00140AD1">
                    <w:rPr>
                      <w:rFonts w:ascii="Arial" w:hAnsi="Arial" w:cs="Arial"/>
                      <w:color w:val="000000"/>
                      <w:sz w:val="20"/>
                      <w:szCs w:val="20"/>
                    </w:rPr>
                    <w:t>key objective is to encourage a two-way dialogue and participation on the topics being researched. These events attract large actuarial audiences and are CPD accredited events for members of IFoA [</w:t>
                  </w:r>
                  <w:r w:rsidRPr="00190872">
                    <w:rPr>
                      <w:rFonts w:ascii="Arial" w:hAnsi="Arial" w:cs="Arial"/>
                      <w:color w:val="000000"/>
                      <w:sz w:val="20"/>
                      <w:szCs w:val="20"/>
                    </w:rPr>
                    <w:t>Source B</w:t>
                  </w:r>
                  <w:r w:rsidRPr="00140AD1">
                    <w:rPr>
                      <w:rFonts w:ascii="Arial" w:hAnsi="Arial" w:cs="Arial"/>
                      <w:color w:val="000000"/>
                      <w:sz w:val="20"/>
                      <w:szCs w:val="20"/>
                    </w:rPr>
                    <w:t xml:space="preserve">]. </w:t>
                  </w:r>
                  <w:r w:rsidRPr="00140AD1">
                    <w:rPr>
                      <w:rFonts w:ascii="Arial" w:hAnsi="Arial" w:cs="Arial"/>
                      <w:sz w:val="20"/>
                      <w:szCs w:val="20"/>
                      <w:lang w:eastAsia="en-GB"/>
                    </w:rPr>
                    <w:t>Two webinars created for the IFoA (2018 and 2019) were watched by 1,585 people with 1110 hours of CPD being recorded.</w:t>
                  </w:r>
                </w:p>
                <w:p w:rsidR="00366B4E" w:rsidRPr="00140AD1" w:rsidRDefault="00366B4E" w:rsidP="00366B4E">
                  <w:pPr>
                    <w:pStyle w:val="ListParagraph"/>
                    <w:spacing w:after="0" w:line="240" w:lineRule="auto"/>
                    <w:ind w:left="459"/>
                    <w:contextualSpacing w:val="0"/>
                    <w:jc w:val="both"/>
                    <w:textAlignment w:val="top"/>
                    <w:rPr>
                      <w:rFonts w:ascii="Arial" w:hAnsi="Arial" w:cs="Arial"/>
                      <w:color w:val="000000"/>
                      <w:sz w:val="20"/>
                      <w:szCs w:val="20"/>
                    </w:rPr>
                  </w:pPr>
                </w:p>
                <w:p w:rsidR="00140AD1" w:rsidRPr="00140AD1" w:rsidRDefault="00140AD1" w:rsidP="00140AD1">
                  <w:pPr>
                    <w:pStyle w:val="ListParagraph"/>
                    <w:numPr>
                      <w:ilvl w:val="0"/>
                      <w:numId w:val="3"/>
                    </w:numPr>
                    <w:spacing w:after="0" w:line="240" w:lineRule="auto"/>
                    <w:ind w:left="459" w:hanging="357"/>
                    <w:contextualSpacing w:val="0"/>
                    <w:jc w:val="both"/>
                    <w:textAlignment w:val="top"/>
                    <w:rPr>
                      <w:rFonts w:ascii="Arial" w:eastAsia="Calibri" w:hAnsi="Arial" w:cs="Arial"/>
                      <w:color w:val="000000"/>
                      <w:sz w:val="20"/>
                      <w:szCs w:val="20"/>
                    </w:rPr>
                  </w:pPr>
                  <w:r w:rsidRPr="00140AD1">
                    <w:rPr>
                      <w:rFonts w:ascii="Arial" w:eastAsia="Calibri" w:hAnsi="Arial" w:cs="Arial"/>
                      <w:color w:val="000000"/>
                      <w:sz w:val="20"/>
                      <w:szCs w:val="20"/>
                    </w:rPr>
                    <w:lastRenderedPageBreak/>
                    <w:t>On October 30, 2019, we provided a technical workshop at IFoA, aimed at educating the actuaries in advanced statistical methods developed by the research team and their application, 83 attendees [</w:t>
                  </w:r>
                  <w:r w:rsidRPr="00190872">
                    <w:rPr>
                      <w:rFonts w:ascii="Arial" w:eastAsia="Calibri" w:hAnsi="Arial" w:cs="Arial"/>
                      <w:color w:val="000000"/>
                      <w:sz w:val="20"/>
                      <w:szCs w:val="20"/>
                    </w:rPr>
                    <w:t>Source B</w:t>
                  </w:r>
                  <w:r w:rsidRPr="00140AD1">
                    <w:rPr>
                      <w:rFonts w:ascii="Arial" w:eastAsia="Calibri" w:hAnsi="Arial" w:cs="Arial"/>
                      <w:color w:val="000000"/>
                      <w:sz w:val="20"/>
                      <w:szCs w:val="20"/>
                    </w:rPr>
                    <w:t>].</w:t>
                  </w:r>
                </w:p>
                <w:p w:rsidR="00140AD1" w:rsidRPr="00140AD1" w:rsidRDefault="00140AD1" w:rsidP="00140AD1">
                  <w:pPr>
                    <w:pStyle w:val="ListParagraph"/>
                    <w:numPr>
                      <w:ilvl w:val="0"/>
                      <w:numId w:val="8"/>
                    </w:numPr>
                    <w:spacing w:after="0" w:line="240" w:lineRule="auto"/>
                    <w:jc w:val="both"/>
                    <w:textAlignment w:val="top"/>
                    <w:rPr>
                      <w:rFonts w:ascii="Arial" w:hAnsi="Arial" w:cs="Arial"/>
                      <w:color w:val="000000"/>
                      <w:sz w:val="20"/>
                      <w:szCs w:val="20"/>
                    </w:rPr>
                  </w:pPr>
                  <w:r w:rsidRPr="00140AD1">
                    <w:rPr>
                      <w:rFonts w:ascii="Arial" w:hAnsi="Arial" w:cs="Arial"/>
                      <w:color w:val="000000"/>
                      <w:sz w:val="20"/>
                      <w:szCs w:val="20"/>
                    </w:rPr>
                    <w:t>We broaden access to our research findings through IFoA publications including the Actuary and the Longevity Bulletin [</w:t>
                  </w:r>
                  <w:r w:rsidRPr="00190872">
                    <w:rPr>
                      <w:rFonts w:ascii="Arial" w:hAnsi="Arial" w:cs="Arial"/>
                      <w:color w:val="000000"/>
                      <w:sz w:val="20"/>
                      <w:szCs w:val="20"/>
                    </w:rPr>
                    <w:t>Source B</w:t>
                  </w:r>
                  <w:r w:rsidRPr="00140AD1">
                    <w:rPr>
                      <w:rFonts w:ascii="Arial" w:hAnsi="Arial" w:cs="Arial"/>
                      <w:color w:val="000000"/>
                      <w:sz w:val="20"/>
                      <w:szCs w:val="20"/>
                    </w:rPr>
                    <w:t xml:space="preserve">]. </w:t>
                  </w:r>
                </w:p>
                <w:p w:rsidR="00140AD1" w:rsidRPr="00140AD1" w:rsidRDefault="00140AD1" w:rsidP="00140AD1">
                  <w:pPr>
                    <w:pStyle w:val="ListParagraph"/>
                    <w:numPr>
                      <w:ilvl w:val="0"/>
                      <w:numId w:val="8"/>
                    </w:numPr>
                    <w:spacing w:after="0" w:line="240" w:lineRule="auto"/>
                    <w:jc w:val="both"/>
                    <w:textAlignment w:val="top"/>
                    <w:rPr>
                      <w:rFonts w:ascii="Arial" w:hAnsi="Arial" w:cs="Arial"/>
                      <w:color w:val="000000"/>
                      <w:sz w:val="20"/>
                      <w:szCs w:val="20"/>
                    </w:rPr>
                  </w:pPr>
                  <w:r w:rsidRPr="00140AD1">
                    <w:rPr>
                      <w:rFonts w:ascii="Arial" w:hAnsi="Arial" w:cs="Arial"/>
                      <w:color w:val="000000"/>
                      <w:sz w:val="20"/>
                      <w:szCs w:val="20"/>
                    </w:rPr>
                    <w:t>To promote and embed our methods into actuarial practice, we were invited to participate in Working Parties by the IFoA, specifically the Working Party on Diabetes and the Working Party on Population Health Management. We also presented our results to the IFoA Health and Care Research Sub-Committee in 2018 and 2019 [</w:t>
                  </w:r>
                  <w:r w:rsidRPr="00190872">
                    <w:rPr>
                      <w:rFonts w:ascii="Arial" w:hAnsi="Arial" w:cs="Arial"/>
                      <w:color w:val="000000"/>
                      <w:sz w:val="20"/>
                      <w:szCs w:val="20"/>
                    </w:rPr>
                    <w:t>Source B</w:t>
                  </w:r>
                  <w:r w:rsidRPr="00140AD1">
                    <w:rPr>
                      <w:rFonts w:ascii="Arial" w:hAnsi="Arial" w:cs="Arial"/>
                      <w:color w:val="000000"/>
                      <w:sz w:val="20"/>
                      <w:szCs w:val="20"/>
                    </w:rPr>
                    <w:t>].</w:t>
                  </w:r>
                </w:p>
                <w:p w:rsidR="00140AD1" w:rsidRPr="00140AD1" w:rsidRDefault="00140AD1" w:rsidP="00537C76">
                  <w:pPr>
                    <w:pStyle w:val="ListParagraph"/>
                    <w:ind w:left="0"/>
                    <w:jc w:val="both"/>
                    <w:rPr>
                      <w:rFonts w:ascii="Arial" w:hAnsi="Arial" w:cs="Arial"/>
                      <w:color w:val="000000"/>
                      <w:sz w:val="20"/>
                      <w:szCs w:val="20"/>
                    </w:rPr>
                  </w:pPr>
                </w:p>
                <w:p w:rsidR="00140AD1" w:rsidRPr="00140AD1" w:rsidRDefault="00140AD1" w:rsidP="00537C76">
                  <w:pPr>
                    <w:pStyle w:val="ListParagraph"/>
                    <w:ind w:left="0"/>
                    <w:jc w:val="both"/>
                    <w:rPr>
                      <w:rFonts w:ascii="Arial" w:hAnsi="Arial" w:cs="Arial"/>
                      <w:color w:val="000000"/>
                      <w:sz w:val="20"/>
                      <w:szCs w:val="20"/>
                    </w:rPr>
                  </w:pPr>
                  <w:r w:rsidRPr="00140AD1">
                    <w:rPr>
                      <w:rFonts w:ascii="Arial" w:eastAsia="Calibri" w:hAnsi="Arial" w:cs="Arial"/>
                      <w:color w:val="000000"/>
                      <w:sz w:val="20"/>
                      <w:szCs w:val="20"/>
                    </w:rPr>
                    <w:t xml:space="preserve">To engage individual insurance and finance companies, we made a presentation to the </w:t>
                  </w:r>
                  <w:r w:rsidRPr="00140AD1">
                    <w:rPr>
                      <w:rFonts w:ascii="Arial" w:hAnsi="Arial" w:cs="Arial"/>
                      <w:color w:val="000000"/>
                      <w:sz w:val="20"/>
                      <w:szCs w:val="20"/>
                      <w:lang w:val="en-US"/>
                    </w:rPr>
                    <w:t>Longevity Science panel at Legal and General (</w:t>
                  </w:r>
                  <w:r w:rsidRPr="00140AD1">
                    <w:rPr>
                      <w:rFonts w:ascii="Arial" w:hAnsi="Arial" w:cs="Arial"/>
                      <w:bCs/>
                      <w:color w:val="000000"/>
                      <w:sz w:val="20"/>
                      <w:szCs w:val="20"/>
                      <w:lang w:val="en-US"/>
                    </w:rPr>
                    <w:t>May 10, 2017), to Aviva Life actuaries (18 October 2018), to PWC pensions team (October 24, 2019) and to Just actuaries (24 February 2020). [</w:t>
                  </w:r>
                  <w:r w:rsidRPr="00366B4E">
                    <w:rPr>
                      <w:rFonts w:ascii="Arial" w:hAnsi="Arial" w:cs="Arial"/>
                      <w:bCs/>
                      <w:color w:val="000000"/>
                      <w:sz w:val="20"/>
                      <w:szCs w:val="20"/>
                      <w:lang w:val="en-US"/>
                    </w:rPr>
                    <w:t>Source C</w:t>
                  </w:r>
                  <w:r w:rsidRPr="00140AD1">
                    <w:rPr>
                      <w:rFonts w:ascii="Arial" w:hAnsi="Arial" w:cs="Arial"/>
                      <w:bCs/>
                      <w:color w:val="000000"/>
                      <w:sz w:val="20"/>
                      <w:szCs w:val="20"/>
                      <w:lang w:val="en-US"/>
                    </w:rPr>
                    <w:t>]. Importantly, the Actuarial Research Council at the IFoA maintains</w:t>
                  </w:r>
                  <w:r w:rsidRPr="00140AD1">
                    <w:rPr>
                      <w:rFonts w:ascii="Arial" w:hAnsi="Arial" w:cs="Arial"/>
                      <w:color w:val="000000"/>
                      <w:sz w:val="20"/>
                      <w:szCs w:val="20"/>
                    </w:rPr>
                    <w:t xml:space="preserve"> a </w:t>
                  </w:r>
                  <w:r w:rsidRPr="00140AD1">
                    <w:rPr>
                      <w:rFonts w:ascii="Arial" w:eastAsia="Calibri" w:hAnsi="Arial" w:cs="Arial"/>
                      <w:color w:val="000000"/>
                      <w:sz w:val="20"/>
                      <w:szCs w:val="20"/>
                    </w:rPr>
                    <w:t>mirror of our UEA website to provide up-to-date and freely available information from our research to the actuarial community [</w:t>
                  </w:r>
                  <w:r w:rsidRPr="00366B4E">
                    <w:rPr>
                      <w:rFonts w:ascii="Arial" w:eastAsia="Calibri" w:hAnsi="Arial" w:cs="Arial"/>
                      <w:color w:val="000000"/>
                      <w:sz w:val="20"/>
                      <w:szCs w:val="20"/>
                    </w:rPr>
                    <w:t>Source D</w:t>
                  </w:r>
                  <w:r w:rsidRPr="00140AD1">
                    <w:rPr>
                      <w:rFonts w:ascii="Arial" w:eastAsia="Calibri" w:hAnsi="Arial" w:cs="Arial"/>
                      <w:color w:val="000000"/>
                      <w:sz w:val="20"/>
                      <w:szCs w:val="20"/>
                    </w:rPr>
                    <w:t>]</w:t>
                  </w:r>
                  <w:r w:rsidRPr="00140AD1">
                    <w:rPr>
                      <w:rFonts w:ascii="Arial" w:hAnsi="Arial" w:cs="Arial"/>
                      <w:color w:val="000000"/>
                      <w:sz w:val="20"/>
                      <w:szCs w:val="20"/>
                    </w:rPr>
                    <w:t>.</w:t>
                  </w:r>
                </w:p>
                <w:p w:rsidR="00140AD1" w:rsidRPr="00140AD1" w:rsidRDefault="00140AD1" w:rsidP="00537C76">
                  <w:pPr>
                    <w:pStyle w:val="ListParagraph"/>
                    <w:ind w:left="0"/>
                    <w:jc w:val="both"/>
                    <w:rPr>
                      <w:rFonts w:ascii="Arial" w:hAnsi="Arial" w:cs="Arial"/>
                      <w:color w:val="000000"/>
                      <w:sz w:val="20"/>
                      <w:szCs w:val="20"/>
                    </w:rPr>
                  </w:pPr>
                </w:p>
                <w:p w:rsidR="00140AD1" w:rsidRPr="00140AD1" w:rsidRDefault="00140AD1" w:rsidP="00537C76">
                  <w:pPr>
                    <w:pStyle w:val="ListParagraph"/>
                    <w:ind w:left="0"/>
                    <w:jc w:val="both"/>
                    <w:rPr>
                      <w:rFonts w:ascii="Arial" w:hAnsi="Arial" w:cs="Arial"/>
                      <w:color w:val="000000"/>
                      <w:sz w:val="20"/>
                      <w:szCs w:val="20"/>
                    </w:rPr>
                  </w:pPr>
                  <w:r w:rsidRPr="00140AD1">
                    <w:rPr>
                      <w:rFonts w:ascii="Arial" w:hAnsi="Arial" w:cs="Arial"/>
                      <w:color w:val="000000"/>
                      <w:sz w:val="20"/>
                      <w:szCs w:val="20"/>
                    </w:rPr>
                    <w:t>A key mechanism for ensuring wider uptake of our research findings within the actuarial community has been presenting our findings at professional actuarial and statistical conferences, including International Congress of Actuaries (Berlin, June 2018), International Biometric Society Conference (2018), International Society for Clinical Biostatistics Conferences (2017, 2019), Mortality and Longevity Symposiums (2016, 2019), Life Conference (2017), Royal Statistical Society (RSS) conference (2017, 2019) [</w:t>
                  </w:r>
                  <w:r w:rsidRPr="00366B4E">
                    <w:rPr>
                      <w:rFonts w:ascii="Arial" w:hAnsi="Arial" w:cs="Arial"/>
                      <w:color w:val="000000"/>
                      <w:sz w:val="20"/>
                      <w:szCs w:val="20"/>
                    </w:rPr>
                    <w:t>Source C</w:t>
                  </w:r>
                  <w:r w:rsidRPr="00140AD1">
                    <w:rPr>
                      <w:rFonts w:ascii="Arial" w:hAnsi="Arial" w:cs="Arial"/>
                      <w:color w:val="000000"/>
                      <w:sz w:val="20"/>
                      <w:szCs w:val="20"/>
                    </w:rPr>
                    <w:t xml:space="preserve">]. </w:t>
                  </w:r>
                </w:p>
                <w:p w:rsidR="00140AD1" w:rsidRPr="00140AD1" w:rsidRDefault="00140AD1" w:rsidP="00537C76">
                  <w:pPr>
                    <w:pStyle w:val="ListParagraph"/>
                    <w:ind w:left="0"/>
                    <w:jc w:val="both"/>
                    <w:rPr>
                      <w:rFonts w:ascii="Arial" w:hAnsi="Arial" w:cs="Arial"/>
                      <w:b/>
                      <w:color w:val="000000"/>
                      <w:sz w:val="20"/>
                      <w:szCs w:val="20"/>
                    </w:rPr>
                  </w:pPr>
                </w:p>
                <w:p w:rsidR="00140AD1" w:rsidRPr="00140AD1" w:rsidRDefault="00140AD1" w:rsidP="00537C76">
                  <w:pPr>
                    <w:pStyle w:val="PlainText"/>
                    <w:ind w:left="-49"/>
                    <w:jc w:val="both"/>
                    <w:rPr>
                      <w:rFonts w:ascii="Arial" w:hAnsi="Arial" w:cs="Arial"/>
                      <w:b/>
                      <w:color w:val="000000"/>
                      <w:sz w:val="20"/>
                      <w:szCs w:val="20"/>
                    </w:rPr>
                  </w:pPr>
                  <w:r w:rsidRPr="00140AD1">
                    <w:rPr>
                      <w:rFonts w:ascii="Arial" w:hAnsi="Arial" w:cs="Arial"/>
                      <w:b/>
                      <w:color w:val="000000"/>
                      <w:sz w:val="20"/>
                      <w:szCs w:val="20"/>
                    </w:rPr>
                    <w:t>2. Improved mortality and life expectancy projections resulting in wider access to insurance and pension products for people with impaired health</w:t>
                  </w:r>
                </w:p>
                <w:p w:rsidR="00140AD1" w:rsidRPr="00140AD1" w:rsidRDefault="00140AD1" w:rsidP="00537C76">
                  <w:pPr>
                    <w:pStyle w:val="PlainText"/>
                    <w:jc w:val="both"/>
                    <w:rPr>
                      <w:rFonts w:ascii="Arial" w:hAnsi="Arial" w:cs="Arial"/>
                      <w:sz w:val="20"/>
                      <w:szCs w:val="20"/>
                    </w:rPr>
                  </w:pPr>
                  <w:r w:rsidRPr="00140AD1">
                    <w:rPr>
                      <w:rFonts w:ascii="Arial" w:hAnsi="Arial" w:cs="Arial"/>
                      <w:sz w:val="20"/>
                      <w:szCs w:val="20"/>
                    </w:rPr>
                    <w:t xml:space="preserve">A key impact from our research is to enable people with certain health conditions who had previously struggled to get insurance, to get insurance in the future. Our results on specific medical conditions and treatments have fed into and contribute to the underwriting of insurance longevity products in the following ways. </w:t>
                  </w:r>
                </w:p>
                <w:p w:rsidR="00140AD1" w:rsidRPr="00140AD1" w:rsidRDefault="00140AD1" w:rsidP="00537C76">
                  <w:pPr>
                    <w:pStyle w:val="PlainText"/>
                    <w:jc w:val="both"/>
                    <w:rPr>
                      <w:rFonts w:ascii="Arial" w:hAnsi="Arial" w:cs="Arial"/>
                      <w:sz w:val="20"/>
                      <w:szCs w:val="20"/>
                    </w:rPr>
                  </w:pPr>
                </w:p>
                <w:p w:rsidR="00140AD1" w:rsidRDefault="00140AD1" w:rsidP="00537C76">
                  <w:pPr>
                    <w:pStyle w:val="PlainText"/>
                    <w:jc w:val="both"/>
                    <w:rPr>
                      <w:rFonts w:ascii="Arial" w:hAnsi="Arial" w:cs="Arial"/>
                      <w:sz w:val="20"/>
                      <w:szCs w:val="20"/>
                    </w:rPr>
                  </w:pPr>
                  <w:r w:rsidRPr="00140AD1">
                    <w:rPr>
                      <w:rFonts w:ascii="Arial" w:hAnsi="Arial" w:cs="Arial"/>
                      <w:sz w:val="20"/>
                      <w:szCs w:val="20"/>
                    </w:rPr>
                    <w:t>Aviva uses the results of our research in their underwriting, and our results help to quantify the longevity assumptions necessary for numerous longevity and population projections. The importance to Aviva is confirmed in a letter from the Life Analytics Director:</w:t>
                  </w:r>
                </w:p>
                <w:p w:rsidR="00366B4E" w:rsidRPr="00140AD1" w:rsidRDefault="00366B4E" w:rsidP="00537C76">
                  <w:pPr>
                    <w:pStyle w:val="PlainText"/>
                    <w:jc w:val="both"/>
                    <w:rPr>
                      <w:rFonts w:ascii="Arial" w:hAnsi="Arial" w:cs="Arial"/>
                      <w:sz w:val="20"/>
                      <w:szCs w:val="20"/>
                    </w:rPr>
                  </w:pPr>
                </w:p>
                <w:p w:rsidR="00140AD1" w:rsidRPr="00140AD1" w:rsidRDefault="00140AD1" w:rsidP="00537C76">
                  <w:pPr>
                    <w:spacing w:line="240" w:lineRule="auto"/>
                    <w:ind w:left="720"/>
                    <w:jc w:val="both"/>
                    <w:rPr>
                      <w:rFonts w:ascii="Arial" w:hAnsi="Arial" w:cs="Arial"/>
                      <w:sz w:val="20"/>
                      <w:szCs w:val="20"/>
                    </w:rPr>
                  </w:pPr>
                  <w:r w:rsidRPr="00140AD1">
                    <w:rPr>
                      <w:rStyle w:val="normaltextrun"/>
                      <w:rFonts w:ascii="Arial" w:hAnsi="Arial" w:cs="Arial"/>
                      <w:color w:val="000000"/>
                      <w:sz w:val="20"/>
                      <w:szCs w:val="20"/>
                      <w:shd w:val="clear" w:color="auto" w:fill="FFFFFF"/>
                    </w:rPr>
                    <w:t xml:space="preserve">“One of the risks that Aviva faces is the guaranteed income that Aviva promises to customers in annuity products. Our guarantee is based on an assessment of life expectancy and is underpinned by statistical models. Professor’s Kulinskaya pioneering work on survival models and their linkage to individual and population life expectancy has provided Aviva with confidence that these guarantees are sound and robust.” </w:t>
                  </w:r>
                  <w:r w:rsidRPr="00140AD1">
                    <w:rPr>
                      <w:rFonts w:ascii="Arial" w:hAnsi="Arial" w:cs="Arial"/>
                      <w:sz w:val="20"/>
                      <w:szCs w:val="20"/>
                    </w:rPr>
                    <w:t>[</w:t>
                  </w:r>
                  <w:r w:rsidRPr="00366B4E">
                    <w:rPr>
                      <w:rFonts w:ascii="Arial" w:hAnsi="Arial" w:cs="Arial"/>
                      <w:sz w:val="20"/>
                      <w:szCs w:val="20"/>
                    </w:rPr>
                    <w:t>Source E</w:t>
                  </w:r>
                  <w:r w:rsidRPr="00140AD1">
                    <w:rPr>
                      <w:rFonts w:ascii="Arial" w:hAnsi="Arial" w:cs="Arial"/>
                      <w:sz w:val="20"/>
                      <w:szCs w:val="20"/>
                    </w:rPr>
                    <w:t>]</w:t>
                  </w:r>
                </w:p>
                <w:p w:rsidR="00140AD1" w:rsidRPr="00140AD1" w:rsidRDefault="00140AD1" w:rsidP="00537C76">
                  <w:pPr>
                    <w:pStyle w:val="PlainText"/>
                    <w:jc w:val="both"/>
                    <w:rPr>
                      <w:rFonts w:ascii="Arial" w:hAnsi="Arial" w:cs="Arial"/>
                      <w:sz w:val="20"/>
                      <w:szCs w:val="20"/>
                    </w:rPr>
                  </w:pPr>
                </w:p>
                <w:p w:rsidR="00140AD1" w:rsidRPr="00140AD1" w:rsidRDefault="00140AD1" w:rsidP="00537C76">
                  <w:pPr>
                    <w:pStyle w:val="ListParagraph"/>
                    <w:ind w:left="0"/>
                    <w:jc w:val="both"/>
                    <w:rPr>
                      <w:rFonts w:ascii="Arial" w:hAnsi="Arial" w:cs="Arial"/>
                      <w:color w:val="000000"/>
                      <w:sz w:val="20"/>
                      <w:szCs w:val="20"/>
                    </w:rPr>
                  </w:pPr>
                  <w:r w:rsidRPr="00140AD1">
                    <w:rPr>
                      <w:rFonts w:ascii="Arial" w:hAnsi="Arial" w:cs="Arial"/>
                      <w:color w:val="000000"/>
                      <w:sz w:val="20"/>
                      <w:szCs w:val="20"/>
                    </w:rPr>
                    <w:t xml:space="preserve">We have also developed a free “My Longevity” app </w:t>
                  </w:r>
                  <w:r w:rsidRPr="00140AD1">
                    <w:rPr>
                      <w:rFonts w:ascii="Arial" w:hAnsi="Arial" w:cs="Arial"/>
                      <w:sz w:val="20"/>
                      <w:szCs w:val="20"/>
                    </w:rPr>
                    <w:t>aimed at both Insurance professionals and the general public</w:t>
                  </w:r>
                  <w:r w:rsidRPr="00140AD1">
                    <w:rPr>
                      <w:rFonts w:ascii="Arial" w:hAnsi="Arial" w:cs="Arial"/>
                      <w:color w:val="000000"/>
                      <w:sz w:val="20"/>
                      <w:szCs w:val="20"/>
                    </w:rPr>
                    <w:t xml:space="preserve"> which models</w:t>
                  </w:r>
                  <w:r w:rsidRPr="00140AD1">
                    <w:rPr>
                      <w:rFonts w:ascii="Arial" w:hAnsi="Arial" w:cs="Arial"/>
                      <w:sz w:val="20"/>
                      <w:szCs w:val="20"/>
                    </w:rPr>
                    <w:t xml:space="preserve"> the impact of lifestyle and health choices on life expectancy. Since launch on September 3, 2020 there have been 813,000 visitors to the site, and 248,204 life expectancy calculations made [</w:t>
                  </w:r>
                  <w:r w:rsidRPr="00366B4E">
                    <w:rPr>
                      <w:rFonts w:ascii="Arial" w:hAnsi="Arial" w:cs="Arial"/>
                      <w:sz w:val="20"/>
                      <w:szCs w:val="20"/>
                    </w:rPr>
                    <w:t>Source F</w:t>
                  </w:r>
                  <w:r w:rsidRPr="00140AD1">
                    <w:rPr>
                      <w:rFonts w:ascii="Arial" w:hAnsi="Arial" w:cs="Arial"/>
                      <w:sz w:val="20"/>
                      <w:szCs w:val="20"/>
                    </w:rPr>
                    <w:t xml:space="preserve">]. </w:t>
                  </w:r>
                  <w:r w:rsidRPr="00140AD1">
                    <w:rPr>
                      <w:rFonts w:ascii="Arial" w:hAnsi="Arial" w:cs="Arial"/>
                      <w:color w:val="000000"/>
                      <w:sz w:val="20"/>
                      <w:szCs w:val="20"/>
                    </w:rPr>
                    <w:t xml:space="preserve">The accompanying optional survey produces feedback and allows users to communicate what decisions the tool has influenced and therefore how much life expectancy gain the user may achieve. Specific feedback from two users shows that the My Longevity App is providing much-awaited answers to </w:t>
                  </w:r>
                  <w:r w:rsidRPr="00140AD1">
                    <w:rPr>
                      <w:rFonts w:ascii="Arial" w:hAnsi="Arial" w:cs="Arial"/>
                      <w:sz w:val="20"/>
                      <w:szCs w:val="20"/>
                    </w:rPr>
                    <w:t>important societal questions.</w:t>
                  </w:r>
                </w:p>
                <w:p w:rsidR="00140AD1" w:rsidRPr="00140AD1" w:rsidRDefault="00140AD1" w:rsidP="00537C76">
                  <w:pPr>
                    <w:ind w:left="720"/>
                    <w:rPr>
                      <w:rStyle w:val="normaltextrun"/>
                      <w:rFonts w:ascii="Arial" w:hAnsi="Arial" w:cs="Arial"/>
                      <w:color w:val="000000"/>
                      <w:sz w:val="20"/>
                      <w:szCs w:val="20"/>
                      <w:shd w:val="clear" w:color="auto" w:fill="FFFFFF"/>
                    </w:rPr>
                  </w:pPr>
                  <w:r w:rsidRPr="00140AD1">
                    <w:rPr>
                      <w:rStyle w:val="normaltextrun"/>
                      <w:rFonts w:ascii="Arial" w:hAnsi="Arial" w:cs="Arial"/>
                      <w:b/>
                      <w:bCs/>
                      <w:color w:val="000000"/>
                      <w:sz w:val="20"/>
                      <w:szCs w:val="20"/>
                      <w:shd w:val="clear" w:color="auto" w:fill="FFFFFF"/>
                    </w:rPr>
                    <w:t>“</w:t>
                  </w:r>
                  <w:r w:rsidRPr="00140AD1">
                    <w:rPr>
                      <w:rFonts w:ascii="Arial" w:hAnsi="Arial" w:cs="Arial"/>
                      <w:color w:val="000000"/>
                      <w:sz w:val="20"/>
                      <w:szCs w:val="20"/>
                    </w:rPr>
                    <w:t>As a kidney specialist writing medicolegal reports on Condition &amp; Prognosis, I am often asked to give my opinion on life expectancy.… I have asked and asked statisticians if somehow I can manipulate risk ratios or hazard ratio data to give me amended life expectancy, and your paper is the first I have found to address this issue….</w:t>
                  </w:r>
                  <w:r w:rsidRPr="00140AD1">
                    <w:rPr>
                      <w:rStyle w:val="normaltextrun"/>
                      <w:rFonts w:ascii="Arial" w:hAnsi="Arial" w:cs="Arial"/>
                      <w:color w:val="000000"/>
                      <w:sz w:val="20"/>
                      <w:szCs w:val="20"/>
                      <w:shd w:val="clear" w:color="auto" w:fill="FFFFFF"/>
                    </w:rPr>
                    <w:t xml:space="preserve"> Your on-line calculator is amazing and just what everyone is looking for.” </w:t>
                  </w:r>
                </w:p>
                <w:p w:rsidR="00366B4E" w:rsidRDefault="00366B4E" w:rsidP="00537C76">
                  <w:pPr>
                    <w:spacing w:after="120" w:line="240" w:lineRule="auto"/>
                    <w:ind w:left="720"/>
                    <w:rPr>
                      <w:rStyle w:val="normaltextrun"/>
                      <w:rFonts w:ascii="Arial" w:hAnsi="Arial" w:cs="Arial"/>
                      <w:color w:val="000000"/>
                      <w:sz w:val="20"/>
                      <w:szCs w:val="20"/>
                      <w:shd w:val="clear" w:color="auto" w:fill="FFFFFF"/>
                    </w:rPr>
                  </w:pPr>
                </w:p>
                <w:p w:rsidR="00140AD1" w:rsidRPr="00140AD1" w:rsidRDefault="00140AD1" w:rsidP="00537C76">
                  <w:pPr>
                    <w:spacing w:after="120" w:line="240" w:lineRule="auto"/>
                    <w:ind w:left="720"/>
                    <w:rPr>
                      <w:rFonts w:ascii="Arial" w:hAnsi="Arial" w:cs="Arial"/>
                      <w:sz w:val="20"/>
                      <w:szCs w:val="20"/>
                    </w:rPr>
                  </w:pPr>
                  <w:r w:rsidRPr="00140AD1">
                    <w:rPr>
                      <w:rStyle w:val="normaltextrun"/>
                      <w:rFonts w:ascii="Arial" w:hAnsi="Arial" w:cs="Arial"/>
                      <w:color w:val="000000"/>
                      <w:sz w:val="20"/>
                      <w:szCs w:val="20"/>
                      <w:shd w:val="clear" w:color="auto" w:fill="FFFFFF"/>
                    </w:rPr>
                    <w:t>“Congratulations on what is a great development. Very easy to use and a clear result!</w:t>
                  </w:r>
                  <w:r w:rsidRPr="00140AD1">
                    <w:rPr>
                      <w:rStyle w:val="eop"/>
                      <w:rFonts w:ascii="Arial" w:hAnsi="Arial" w:cs="Arial"/>
                      <w:color w:val="000000"/>
                      <w:sz w:val="20"/>
                      <w:szCs w:val="20"/>
                      <w:shd w:val="clear" w:color="auto" w:fill="FFFFFF"/>
                    </w:rPr>
                    <w:t>..</w:t>
                  </w:r>
                  <w:r w:rsidRPr="00140AD1">
                    <w:rPr>
                      <w:rStyle w:val="eop"/>
                      <w:rFonts w:ascii="Arial" w:hAnsi="Arial" w:cs="Arial"/>
                      <w:sz w:val="20"/>
                      <w:szCs w:val="20"/>
                      <w:shd w:val="clear" w:color="auto" w:fill="FFFFFF"/>
                    </w:rPr>
                    <w:t xml:space="preserve">.. </w:t>
                  </w:r>
                  <w:r w:rsidRPr="00140AD1">
                    <w:rPr>
                      <w:rStyle w:val="normaltextrun"/>
                      <w:rFonts w:ascii="Arial" w:hAnsi="Arial" w:cs="Arial"/>
                      <w:color w:val="000000"/>
                      <w:sz w:val="20"/>
                      <w:szCs w:val="20"/>
                      <w:shd w:val="clear" w:color="auto" w:fill="FFFFFF"/>
                    </w:rPr>
                    <w:t>We are looking to help our potential customers / community members understand the biological age, health span and lifespan expectations and obviously your app would be an interesting tool that people could use plus there are some interesting developments that could be looked at</w:t>
                  </w:r>
                  <w:r w:rsidRPr="00366B4E">
                    <w:rPr>
                      <w:rStyle w:val="normaltextrun"/>
                      <w:rFonts w:ascii="Arial" w:hAnsi="Arial" w:cs="Arial"/>
                      <w:color w:val="000000"/>
                      <w:sz w:val="20"/>
                      <w:szCs w:val="20"/>
                      <w:shd w:val="clear" w:color="auto" w:fill="FFFFFF"/>
                    </w:rPr>
                    <w:t>.”</w:t>
                  </w:r>
                  <w:r w:rsidRPr="00366B4E">
                    <w:rPr>
                      <w:rStyle w:val="eop"/>
                      <w:rFonts w:ascii="Arial" w:hAnsi="Arial" w:cs="Arial"/>
                      <w:color w:val="000000"/>
                      <w:sz w:val="20"/>
                      <w:szCs w:val="20"/>
                      <w:shd w:val="clear" w:color="auto" w:fill="FFFFFF"/>
                    </w:rPr>
                    <w:t> </w:t>
                  </w:r>
                  <w:r w:rsidRPr="00366B4E">
                    <w:rPr>
                      <w:rFonts w:ascii="Arial" w:hAnsi="Arial" w:cs="Arial"/>
                      <w:color w:val="000000"/>
                      <w:sz w:val="20"/>
                      <w:szCs w:val="20"/>
                      <w:lang w:eastAsia="en-GB"/>
                    </w:rPr>
                    <w:t xml:space="preserve">[Source F] </w:t>
                  </w:r>
                </w:p>
                <w:p w:rsidR="00140AD1" w:rsidRDefault="00140AD1" w:rsidP="00537C76">
                  <w:pPr>
                    <w:pStyle w:val="PlainText"/>
                    <w:ind w:left="-49"/>
                    <w:jc w:val="both"/>
                    <w:rPr>
                      <w:rFonts w:ascii="Arial" w:hAnsi="Arial" w:cs="Arial"/>
                      <w:b/>
                      <w:color w:val="000000"/>
                      <w:sz w:val="20"/>
                      <w:szCs w:val="20"/>
                    </w:rPr>
                  </w:pPr>
                  <w:r w:rsidRPr="00140AD1">
                    <w:rPr>
                      <w:rFonts w:ascii="Arial" w:hAnsi="Arial" w:cs="Arial"/>
                      <w:b/>
                      <w:color w:val="000000"/>
                      <w:sz w:val="20"/>
                      <w:szCs w:val="20"/>
                    </w:rPr>
                    <w:t xml:space="preserve">3. Influencing UK and international policy makers </w:t>
                  </w:r>
                </w:p>
                <w:p w:rsidR="00366B4E" w:rsidRPr="00140AD1" w:rsidRDefault="00366B4E" w:rsidP="00537C76">
                  <w:pPr>
                    <w:pStyle w:val="PlainText"/>
                    <w:ind w:left="-49"/>
                    <w:jc w:val="both"/>
                    <w:rPr>
                      <w:rFonts w:ascii="Arial" w:hAnsi="Arial" w:cs="Arial"/>
                      <w:sz w:val="20"/>
                      <w:szCs w:val="20"/>
                    </w:rPr>
                  </w:pPr>
                </w:p>
                <w:p w:rsidR="00140AD1" w:rsidRPr="00140AD1" w:rsidRDefault="00140AD1" w:rsidP="00537C76">
                  <w:pPr>
                    <w:autoSpaceDE w:val="0"/>
                    <w:autoSpaceDN w:val="0"/>
                    <w:adjustRightInd w:val="0"/>
                    <w:spacing w:line="240" w:lineRule="auto"/>
                    <w:jc w:val="both"/>
                    <w:rPr>
                      <w:rFonts w:ascii="Arial" w:hAnsi="Arial" w:cs="Arial"/>
                      <w:color w:val="000000"/>
                      <w:sz w:val="20"/>
                      <w:szCs w:val="20"/>
                    </w:rPr>
                  </w:pPr>
                  <w:r w:rsidRPr="00140AD1">
                    <w:rPr>
                      <w:rFonts w:ascii="Arial" w:hAnsi="Arial" w:cs="Arial"/>
                      <w:color w:val="000000"/>
                      <w:sz w:val="20"/>
                      <w:szCs w:val="20"/>
                    </w:rPr>
                    <w:t xml:space="preserve">To engage in dialogue with public bodies and policy makers, in 2018 we organised a one-day workshop entitled </w:t>
                  </w:r>
                  <w:r w:rsidRPr="00140AD1">
                    <w:rPr>
                      <w:rFonts w:ascii="Arial" w:hAnsi="Arial" w:cs="Arial"/>
                      <w:b/>
                      <w:bCs/>
                      <w:color w:val="000000"/>
                      <w:sz w:val="20"/>
                      <w:szCs w:val="20"/>
                    </w:rPr>
                    <w:t>“The impact of medical advances and health interventions on longevity and population projections</w:t>
                  </w:r>
                  <w:r w:rsidRPr="00140AD1">
                    <w:rPr>
                      <w:rFonts w:ascii="Arial" w:hAnsi="Arial" w:cs="Arial"/>
                      <w:color w:val="000000"/>
                      <w:sz w:val="20"/>
                      <w:szCs w:val="20"/>
                    </w:rPr>
                    <w:t>”, over 40 attendees</w:t>
                  </w:r>
                  <w:r w:rsidRPr="00140AD1">
                    <w:rPr>
                      <w:rFonts w:ascii="Arial" w:hAnsi="Arial" w:cs="Arial"/>
                      <w:b/>
                      <w:bCs/>
                      <w:color w:val="000000"/>
                      <w:sz w:val="20"/>
                      <w:szCs w:val="20"/>
                    </w:rPr>
                    <w:t xml:space="preserve"> </w:t>
                  </w:r>
                  <w:r w:rsidRPr="00366B4E">
                    <w:rPr>
                      <w:rFonts w:ascii="Arial" w:eastAsia="Calibri" w:hAnsi="Arial" w:cs="Arial"/>
                      <w:color w:val="000000"/>
                      <w:sz w:val="20"/>
                      <w:szCs w:val="20"/>
                    </w:rPr>
                    <w:t>[Source G].</w:t>
                  </w:r>
                  <w:r w:rsidRPr="00140AD1">
                    <w:rPr>
                      <w:rFonts w:ascii="Arial" w:eastAsia="Calibri" w:hAnsi="Arial" w:cs="Arial"/>
                      <w:color w:val="000000"/>
                      <w:sz w:val="20"/>
                      <w:szCs w:val="20"/>
                    </w:rPr>
                    <w:t xml:space="preserve"> </w:t>
                  </w:r>
                  <w:r w:rsidRPr="00140AD1">
                    <w:rPr>
                      <w:rFonts w:ascii="Arial" w:hAnsi="Arial" w:cs="Arial"/>
                      <w:color w:val="000000"/>
                      <w:sz w:val="20"/>
                      <w:szCs w:val="20"/>
                    </w:rPr>
                    <w:t xml:space="preserve">The workshop explored how various wide scale medical advances or health interventions, for example changes in </w:t>
                  </w:r>
                  <w:r w:rsidRPr="00140AD1">
                    <w:rPr>
                      <w:rFonts w:ascii="Arial" w:hAnsi="Arial" w:cs="Arial"/>
                      <w:i/>
                      <w:iCs/>
                      <w:color w:val="000000"/>
                      <w:sz w:val="20"/>
                      <w:szCs w:val="20"/>
                    </w:rPr>
                    <w:t>National Institute for Health and Care Excellence</w:t>
                  </w:r>
                  <w:r w:rsidRPr="00140AD1">
                    <w:rPr>
                      <w:rFonts w:ascii="Arial" w:hAnsi="Arial" w:cs="Arial"/>
                      <w:color w:val="000000"/>
                      <w:sz w:val="20"/>
                      <w:szCs w:val="20"/>
                    </w:rPr>
                    <w:t xml:space="preserve"> (NICE) guidelines, may change longevity and therefore necessitate changes in population projections, and hence a variety of policies and business models, from public health to pensions and insurance products. </w:t>
                  </w:r>
                  <w:r w:rsidRPr="00140AD1">
                    <w:rPr>
                      <w:rFonts w:ascii="Arial" w:hAnsi="Arial" w:cs="Arial"/>
                      <w:bCs/>
                      <w:color w:val="000000"/>
                      <w:sz w:val="20"/>
                      <w:szCs w:val="20"/>
                    </w:rPr>
                    <w:t>Invited stakeholders included</w:t>
                  </w:r>
                  <w:r w:rsidRPr="00140AD1">
                    <w:rPr>
                      <w:rFonts w:ascii="Arial" w:hAnsi="Arial" w:cs="Arial"/>
                      <w:color w:val="000000"/>
                      <w:sz w:val="20"/>
                      <w:szCs w:val="20"/>
                    </w:rPr>
                    <w:t>: Office for National Statistics, Department for Work and Pensions, Department of Health</w:t>
                  </w:r>
                  <w:r w:rsidRPr="00140AD1">
                    <w:rPr>
                      <w:rFonts w:ascii="Arial" w:hAnsi="Arial" w:cs="Arial"/>
                      <w:color w:val="000000" w:themeColor="text1"/>
                      <w:sz w:val="20"/>
                      <w:szCs w:val="20"/>
                    </w:rPr>
                    <w:t xml:space="preserve">, </w:t>
                  </w:r>
                  <w:r w:rsidRPr="00140AD1">
                    <w:rPr>
                      <w:rFonts w:ascii="Arial" w:hAnsi="Arial" w:cs="Arial"/>
                      <w:color w:val="000000" w:themeColor="text1"/>
                      <w:sz w:val="20"/>
                      <w:szCs w:val="20"/>
                      <w:shd w:val="clear" w:color="auto" w:fill="FFFFFF"/>
                    </w:rPr>
                    <w:t>Government </w:t>
                  </w:r>
                  <w:r w:rsidRPr="00140AD1">
                    <w:rPr>
                      <w:rStyle w:val="Emphasis"/>
                      <w:rFonts w:ascii="Arial" w:hAnsi="Arial" w:cs="Arial"/>
                      <w:color w:val="000000" w:themeColor="text1"/>
                      <w:sz w:val="20"/>
                      <w:szCs w:val="20"/>
                      <w:shd w:val="clear" w:color="auto" w:fill="FFFFFF"/>
                    </w:rPr>
                    <w:t>Actuary's</w:t>
                  </w:r>
                  <w:r w:rsidRPr="00140AD1">
                    <w:rPr>
                      <w:rFonts w:ascii="Arial" w:hAnsi="Arial" w:cs="Arial"/>
                      <w:color w:val="000000" w:themeColor="text1"/>
                      <w:sz w:val="20"/>
                      <w:szCs w:val="20"/>
                      <w:shd w:val="clear" w:color="auto" w:fill="FFFFFF"/>
                    </w:rPr>
                    <w:t> Department</w:t>
                  </w:r>
                  <w:r w:rsidRPr="00140AD1">
                    <w:rPr>
                      <w:rFonts w:ascii="Arial" w:hAnsi="Arial" w:cs="Arial"/>
                      <w:color w:val="000000" w:themeColor="text1"/>
                      <w:sz w:val="20"/>
                      <w:szCs w:val="20"/>
                    </w:rPr>
                    <w:t xml:space="preserve">, </w:t>
                  </w:r>
                  <w:r w:rsidRPr="00140AD1">
                    <w:rPr>
                      <w:rFonts w:ascii="Arial" w:hAnsi="Arial" w:cs="Arial"/>
                      <w:color w:val="000000"/>
                      <w:sz w:val="20"/>
                      <w:szCs w:val="20"/>
                    </w:rPr>
                    <w:t xml:space="preserve">NICE, Royal Statistical Society, World Health Organization, World Bank, BPI Pension Trust, and, from within the IFoA: Steering Group members; Practice Board and Research Committee Representatives; Mortality Research Steering Committee; Relevant Working Parties; Policy and Public Affairs. An article written by Jules </w:t>
                  </w:r>
                  <w:proofErr w:type="spellStart"/>
                  <w:r w:rsidRPr="00140AD1">
                    <w:rPr>
                      <w:rFonts w:ascii="Arial" w:hAnsi="Arial" w:cs="Arial"/>
                      <w:color w:val="000000"/>
                      <w:sz w:val="20"/>
                      <w:szCs w:val="20"/>
                    </w:rPr>
                    <w:t>Constantinou</w:t>
                  </w:r>
                  <w:proofErr w:type="spellEnd"/>
                  <w:r w:rsidRPr="00140AD1">
                    <w:rPr>
                      <w:rFonts w:ascii="Arial" w:hAnsi="Arial" w:cs="Arial"/>
                      <w:color w:val="000000"/>
                      <w:sz w:val="20"/>
                      <w:szCs w:val="20"/>
                    </w:rPr>
                    <w:t>, the IFoA President</w:t>
                  </w:r>
                  <w:r w:rsidR="00366B4E">
                    <w:rPr>
                      <w:rFonts w:ascii="Arial" w:hAnsi="Arial" w:cs="Arial"/>
                      <w:color w:val="000000"/>
                      <w:sz w:val="20"/>
                      <w:szCs w:val="20"/>
                    </w:rPr>
                    <w:t>,</w:t>
                  </w:r>
                  <w:r w:rsidRPr="00140AD1">
                    <w:rPr>
                      <w:rFonts w:ascii="Arial" w:hAnsi="Arial" w:cs="Arial"/>
                      <w:color w:val="000000"/>
                      <w:sz w:val="20"/>
                      <w:szCs w:val="20"/>
                    </w:rPr>
                    <w:t xml:space="preserve"> highlighted the success of the impact workshop and sessional. [</w:t>
                  </w:r>
                  <w:r w:rsidRPr="00366B4E">
                    <w:rPr>
                      <w:rFonts w:ascii="Arial" w:hAnsi="Arial" w:cs="Arial"/>
                      <w:color w:val="000000"/>
                      <w:sz w:val="20"/>
                      <w:szCs w:val="20"/>
                    </w:rPr>
                    <w:t>Source H]</w:t>
                  </w:r>
                </w:p>
                <w:p w:rsidR="00140AD1" w:rsidRPr="00140AD1" w:rsidRDefault="00140AD1" w:rsidP="00537C76">
                  <w:pPr>
                    <w:pStyle w:val="ListParagraph"/>
                    <w:ind w:left="0"/>
                    <w:jc w:val="both"/>
                    <w:rPr>
                      <w:rFonts w:ascii="Arial" w:hAnsi="Arial" w:cs="Arial"/>
                      <w:sz w:val="20"/>
                      <w:szCs w:val="20"/>
                    </w:rPr>
                  </w:pPr>
                  <w:bookmarkStart w:id="0" w:name="_Hlk62234964"/>
                  <w:r w:rsidRPr="00140AD1">
                    <w:rPr>
                      <w:rFonts w:ascii="Arial" w:hAnsi="Arial" w:cs="Arial"/>
                      <w:color w:val="000000"/>
                      <w:sz w:val="20"/>
                      <w:szCs w:val="20"/>
                    </w:rPr>
                    <w:t xml:space="preserve">In parallel, a high-level summary of our research findings was included in the IFoA’s response to the LSE-Lancet Commission call for evidence on the future of the NHS (2018) </w:t>
                  </w:r>
                  <w:r w:rsidRPr="00366B4E">
                    <w:rPr>
                      <w:rFonts w:ascii="Arial" w:hAnsi="Arial" w:cs="Arial"/>
                      <w:color w:val="000000"/>
                      <w:sz w:val="20"/>
                      <w:szCs w:val="20"/>
                    </w:rPr>
                    <w:t>[Source I],</w:t>
                  </w:r>
                  <w:r w:rsidRPr="00140AD1">
                    <w:rPr>
                      <w:rFonts w:ascii="Arial" w:hAnsi="Arial" w:cs="Arial"/>
                      <w:color w:val="000000"/>
                      <w:sz w:val="20"/>
                      <w:szCs w:val="20"/>
                    </w:rPr>
                    <w:t xml:space="preserve"> </w:t>
                  </w:r>
                  <w:r w:rsidRPr="00140AD1">
                    <w:rPr>
                      <w:rFonts w:ascii="Arial" w:hAnsi="Arial" w:cs="Arial"/>
                      <w:sz w:val="20"/>
                      <w:szCs w:val="20"/>
                    </w:rPr>
                    <w:t xml:space="preserve">and to the joint consultation between the Department for Health and Social Care and the Cabinet Office on </w:t>
                  </w:r>
                  <w:r w:rsidRPr="00140AD1">
                    <w:rPr>
                      <w:rFonts w:ascii="Arial" w:hAnsi="Arial" w:cs="Arial"/>
                      <w:i/>
                      <w:iCs/>
                      <w:sz w:val="20"/>
                      <w:szCs w:val="20"/>
                    </w:rPr>
                    <w:t>Advancing our Health: prevention in the 2020s</w:t>
                  </w:r>
                  <w:r w:rsidRPr="00140AD1">
                    <w:rPr>
                      <w:rFonts w:ascii="Arial" w:hAnsi="Arial" w:cs="Arial"/>
                      <w:sz w:val="20"/>
                      <w:szCs w:val="20"/>
                    </w:rPr>
                    <w:t xml:space="preserve"> (2019</w:t>
                  </w:r>
                  <w:bookmarkEnd w:id="0"/>
                  <w:r w:rsidRPr="00140AD1">
                    <w:rPr>
                      <w:rFonts w:ascii="Arial" w:hAnsi="Arial" w:cs="Arial"/>
                      <w:sz w:val="20"/>
                      <w:szCs w:val="20"/>
                    </w:rPr>
                    <w:t>) [</w:t>
                  </w:r>
                  <w:r w:rsidRPr="00366B4E">
                    <w:rPr>
                      <w:rFonts w:ascii="Arial" w:hAnsi="Arial" w:cs="Arial"/>
                      <w:sz w:val="20"/>
                      <w:szCs w:val="20"/>
                    </w:rPr>
                    <w:t>Source J].</w:t>
                  </w:r>
                </w:p>
                <w:p w:rsidR="00140AD1" w:rsidRPr="00140AD1" w:rsidRDefault="00140AD1" w:rsidP="00537C76">
                  <w:pPr>
                    <w:pStyle w:val="ListParagraph"/>
                    <w:ind w:left="0"/>
                    <w:jc w:val="both"/>
                    <w:rPr>
                      <w:rFonts w:ascii="Arial" w:hAnsi="Arial" w:cs="Arial"/>
                      <w:sz w:val="20"/>
                      <w:szCs w:val="20"/>
                    </w:rPr>
                  </w:pPr>
                </w:p>
              </w:tc>
            </w:tr>
            <w:tr w:rsidR="00140AD1" w:rsidRPr="00140AD1" w:rsidTr="00190872">
              <w:tc>
                <w:tcPr>
                  <w:tcW w:w="5000" w:type="pct"/>
                </w:tcPr>
                <w:p w:rsidR="00140AD1" w:rsidRPr="00140AD1" w:rsidRDefault="00140AD1" w:rsidP="00537C76">
                  <w:pPr>
                    <w:spacing w:after="120" w:line="240" w:lineRule="auto"/>
                    <w:rPr>
                      <w:rFonts w:ascii="Arial" w:hAnsi="Arial" w:cs="Arial"/>
                      <w:sz w:val="20"/>
                      <w:szCs w:val="20"/>
                    </w:rPr>
                  </w:pPr>
                  <w:r w:rsidRPr="00140AD1">
                    <w:rPr>
                      <w:rFonts w:ascii="Arial" w:hAnsi="Arial" w:cs="Arial"/>
                      <w:b/>
                      <w:sz w:val="20"/>
                      <w:szCs w:val="20"/>
                    </w:rPr>
                    <w:lastRenderedPageBreak/>
                    <w:t xml:space="preserve">5. Sources to corroborate the impact </w:t>
                  </w:r>
                </w:p>
                <w:p w:rsidR="00140AD1" w:rsidRPr="00140AD1" w:rsidRDefault="00140AD1" w:rsidP="00537C76">
                  <w:pPr>
                    <w:spacing w:after="120" w:line="240" w:lineRule="auto"/>
                    <w:contextualSpacing/>
                    <w:rPr>
                      <w:rFonts w:ascii="Arial" w:hAnsi="Arial" w:cs="Arial"/>
                      <w:sz w:val="20"/>
                      <w:szCs w:val="20"/>
                    </w:rPr>
                  </w:pPr>
                  <w:r w:rsidRPr="00140AD1">
                    <w:rPr>
                      <w:rFonts w:ascii="Arial" w:hAnsi="Arial" w:cs="Arial"/>
                      <w:sz w:val="20"/>
                      <w:szCs w:val="20"/>
                    </w:rPr>
                    <w:t>[A] IFoA testimonial</w:t>
                  </w:r>
                </w:p>
                <w:p w:rsidR="00140AD1" w:rsidRPr="00140AD1" w:rsidRDefault="00140AD1" w:rsidP="00537C76">
                  <w:pPr>
                    <w:spacing w:after="120" w:line="240" w:lineRule="auto"/>
                    <w:contextualSpacing/>
                    <w:rPr>
                      <w:rFonts w:ascii="Arial" w:hAnsi="Arial" w:cs="Arial"/>
                      <w:sz w:val="20"/>
                      <w:szCs w:val="20"/>
                    </w:rPr>
                  </w:pPr>
                </w:p>
                <w:p w:rsidR="00140AD1" w:rsidRPr="00140AD1" w:rsidRDefault="00140AD1" w:rsidP="00537C76">
                  <w:pPr>
                    <w:spacing w:line="240" w:lineRule="auto"/>
                    <w:rPr>
                      <w:rFonts w:ascii="Arial" w:hAnsi="Arial" w:cs="Arial"/>
                      <w:sz w:val="20"/>
                      <w:szCs w:val="20"/>
                    </w:rPr>
                  </w:pPr>
                  <w:r w:rsidRPr="00140AD1">
                    <w:rPr>
                      <w:rFonts w:ascii="Arial" w:hAnsi="Arial" w:cs="Arial"/>
                      <w:sz w:val="20"/>
                      <w:szCs w:val="20"/>
                    </w:rPr>
                    <w:t>[B] Interaction with the IFoA through:</w:t>
                  </w:r>
                </w:p>
                <w:p w:rsidR="00140AD1" w:rsidRPr="00140AD1" w:rsidRDefault="00140AD1" w:rsidP="00537C76">
                  <w:pPr>
                    <w:spacing w:line="240" w:lineRule="auto"/>
                    <w:ind w:left="595"/>
                    <w:rPr>
                      <w:rFonts w:ascii="Arial" w:hAnsi="Arial" w:cs="Arial"/>
                      <w:color w:val="000000"/>
                      <w:sz w:val="20"/>
                      <w:szCs w:val="20"/>
                    </w:rPr>
                  </w:pPr>
                  <w:r w:rsidRPr="00140AD1">
                    <w:rPr>
                      <w:rFonts w:ascii="Arial" w:hAnsi="Arial" w:cs="Arial"/>
                      <w:b/>
                      <w:bCs/>
                      <w:color w:val="000000"/>
                      <w:sz w:val="20"/>
                      <w:szCs w:val="20"/>
                    </w:rPr>
                    <w:t>Presentations:</w:t>
                  </w:r>
                </w:p>
                <w:p w:rsidR="00140AD1" w:rsidRPr="00140AD1" w:rsidRDefault="00140AD1" w:rsidP="00537C76">
                  <w:pPr>
                    <w:spacing w:line="240" w:lineRule="auto"/>
                    <w:ind w:left="1446" w:hanging="284"/>
                    <w:contextualSpacing/>
                    <w:rPr>
                      <w:rFonts w:ascii="Arial" w:hAnsi="Arial" w:cs="Arial"/>
                      <w:bCs/>
                      <w:color w:val="000000"/>
                      <w:sz w:val="20"/>
                      <w:szCs w:val="20"/>
                    </w:rPr>
                  </w:pPr>
                  <w:r w:rsidRPr="00140AD1">
                    <w:rPr>
                      <w:rFonts w:ascii="Arial" w:hAnsi="Arial" w:cs="Arial"/>
                      <w:bCs/>
                      <w:color w:val="0A0A0A"/>
                      <w:sz w:val="20"/>
                      <w:szCs w:val="20"/>
                    </w:rPr>
                    <w:t xml:space="preserve">a) Webinar “Use of Big Health and Actuarial Data for Understanding Longevity and Morbidity” (13/06/2017) </w:t>
                  </w:r>
                  <w:hyperlink r:id="rId6" w:history="1">
                    <w:r w:rsidRPr="00140AD1">
                      <w:rPr>
                        <w:rStyle w:val="Hyperlink"/>
                        <w:rFonts w:ascii="Arial" w:hAnsi="Arial" w:cs="Arial"/>
                        <w:bCs/>
                        <w:sz w:val="20"/>
                        <w:szCs w:val="20"/>
                        <w:bdr w:val="none" w:sz="0" w:space="0" w:color="auto" w:frame="1"/>
                      </w:rPr>
                      <w:t>https://www.youtube.com/watch?v=CHrCNb0Sj2w&amp;list=PLTH4sS-tsiG8f13gGxrlO22NroLo44TdE&amp;index=2</w:t>
                    </w:r>
                  </w:hyperlink>
                  <w:r w:rsidRPr="00140AD1">
                    <w:rPr>
                      <w:rFonts w:ascii="Arial" w:hAnsi="Arial" w:cs="Arial"/>
                      <w:bCs/>
                      <w:sz w:val="20"/>
                      <w:szCs w:val="20"/>
                      <w:bdr w:val="none" w:sz="0" w:space="0" w:color="auto" w:frame="1"/>
                    </w:rPr>
                    <w:t xml:space="preserve"> </w:t>
                  </w:r>
                  <w:r w:rsidRPr="00140AD1">
                    <w:rPr>
                      <w:rFonts w:ascii="Arial" w:hAnsi="Arial" w:cs="Arial"/>
                      <w:bCs/>
                      <w:color w:val="0A0A0A"/>
                      <w:sz w:val="20"/>
                      <w:szCs w:val="20"/>
                    </w:rPr>
                    <w:t>(</w:t>
                  </w:r>
                  <w:r w:rsidRPr="00140AD1">
                    <w:rPr>
                      <w:rStyle w:val="view-count"/>
                      <w:rFonts w:ascii="Arial" w:hAnsi="Arial" w:cs="Arial"/>
                      <w:bCs/>
                      <w:color w:val="000000" w:themeColor="text1"/>
                      <w:sz w:val="20"/>
                      <w:szCs w:val="20"/>
                      <w:bdr w:val="none" w:sz="0" w:space="0" w:color="auto" w:frame="1"/>
                    </w:rPr>
                    <w:t>461 views by 10/01/2020</w:t>
                  </w:r>
                  <w:r w:rsidRPr="00140AD1">
                    <w:rPr>
                      <w:rStyle w:val="view-count"/>
                      <w:rFonts w:ascii="Arial" w:hAnsi="Arial" w:cs="Arial"/>
                      <w:bCs/>
                      <w:color w:val="606060"/>
                      <w:sz w:val="20"/>
                      <w:szCs w:val="20"/>
                      <w:bdr w:val="none" w:sz="0" w:space="0" w:color="auto" w:frame="1"/>
                    </w:rPr>
                    <w:t>)</w:t>
                  </w:r>
                </w:p>
                <w:p w:rsidR="00140AD1" w:rsidRPr="00140AD1" w:rsidRDefault="00140AD1" w:rsidP="00537C76">
                  <w:pPr>
                    <w:spacing w:line="240" w:lineRule="auto"/>
                    <w:ind w:left="1446" w:hanging="284"/>
                    <w:contextualSpacing/>
                    <w:rPr>
                      <w:rFonts w:ascii="Arial" w:hAnsi="Arial" w:cs="Arial"/>
                      <w:color w:val="000000"/>
                      <w:sz w:val="20"/>
                      <w:szCs w:val="20"/>
                    </w:rPr>
                  </w:pPr>
                  <w:r w:rsidRPr="00140AD1">
                    <w:rPr>
                      <w:rFonts w:ascii="Arial" w:hAnsi="Arial" w:cs="Arial"/>
                      <w:color w:val="000000"/>
                      <w:sz w:val="20"/>
                      <w:szCs w:val="20"/>
                    </w:rPr>
                    <w:t xml:space="preserve">b) Webinar “Use of Big Health and Actuarial Data for Understanding Longevity and Morbidity” (17/09/2018) </w:t>
                  </w:r>
                  <w:hyperlink r:id="rId7" w:history="1">
                    <w:r w:rsidRPr="00140AD1">
                      <w:rPr>
                        <w:rStyle w:val="Hyperlink"/>
                        <w:rFonts w:ascii="Arial" w:hAnsi="Arial" w:cs="Arial"/>
                        <w:sz w:val="20"/>
                        <w:szCs w:val="20"/>
                      </w:rPr>
                      <w:t>https://www.youtube.com/watch?v=Gq6w8Zkdp1Q&amp;index=10&amp;list=PLTH4sS-tsiG8f13gGxrlO22NroLo44TdE</w:t>
                    </w:r>
                  </w:hyperlink>
                  <w:r w:rsidRPr="00140AD1">
                    <w:rPr>
                      <w:rFonts w:ascii="Arial" w:hAnsi="Arial" w:cs="Arial"/>
                      <w:color w:val="000000" w:themeColor="text1"/>
                      <w:sz w:val="20"/>
                      <w:szCs w:val="20"/>
                    </w:rPr>
                    <w:t xml:space="preserve">  </w:t>
                  </w:r>
                  <w:r w:rsidRPr="00140AD1">
                    <w:rPr>
                      <w:rFonts w:ascii="Arial" w:hAnsi="Arial" w:cs="Arial"/>
                      <w:color w:val="808080"/>
                      <w:sz w:val="20"/>
                      <w:szCs w:val="20"/>
                    </w:rPr>
                    <w:t>(</w:t>
                  </w:r>
                  <w:r w:rsidRPr="00140AD1">
                    <w:rPr>
                      <w:rFonts w:ascii="Arial" w:hAnsi="Arial" w:cs="Arial"/>
                      <w:sz w:val="20"/>
                      <w:szCs w:val="20"/>
                    </w:rPr>
                    <w:t>280 views by 10/01/2020)</w:t>
                  </w:r>
                </w:p>
                <w:p w:rsidR="00140AD1" w:rsidRDefault="00140AD1" w:rsidP="00537C76">
                  <w:pPr>
                    <w:spacing w:line="240" w:lineRule="auto"/>
                    <w:ind w:left="1446" w:hanging="284"/>
                    <w:contextualSpacing/>
                    <w:rPr>
                      <w:rFonts w:ascii="Arial" w:hAnsi="Arial" w:cs="Arial"/>
                      <w:sz w:val="20"/>
                      <w:szCs w:val="20"/>
                    </w:rPr>
                  </w:pPr>
                  <w:r w:rsidRPr="00140AD1">
                    <w:rPr>
                      <w:rFonts w:ascii="Arial" w:hAnsi="Arial" w:cs="Arial"/>
                      <w:sz w:val="20"/>
                      <w:szCs w:val="20"/>
                    </w:rPr>
                    <w:t xml:space="preserve">c) </w:t>
                  </w:r>
                  <w:r w:rsidRPr="00140AD1">
                    <w:rPr>
                      <w:rFonts w:ascii="Arial" w:hAnsi="Arial" w:cs="Arial"/>
                      <w:bCs/>
                      <w:color w:val="0A0A0A"/>
                      <w:sz w:val="20"/>
                      <w:szCs w:val="20"/>
                    </w:rPr>
                    <w:t>Presentation</w:t>
                  </w:r>
                  <w:r w:rsidRPr="00140AD1">
                    <w:rPr>
                      <w:rFonts w:ascii="Arial" w:hAnsi="Arial" w:cs="Arial"/>
                      <w:sz w:val="20"/>
                      <w:szCs w:val="20"/>
                    </w:rPr>
                    <w:t xml:space="preserve"> “How Medical Advances and Health Interventions Will Shape Future Longevity” at the Royal College of Physicians, Edinburgh (25/06/2018) </w:t>
                  </w:r>
                  <w:hyperlink r:id="rId8" w:history="1">
                    <w:r w:rsidRPr="00140AD1">
                      <w:rPr>
                        <w:rStyle w:val="Hyperlink"/>
                        <w:rFonts w:ascii="Arial" w:hAnsi="Arial" w:cs="Arial"/>
                        <w:sz w:val="20"/>
                        <w:szCs w:val="20"/>
                      </w:rPr>
                      <w:t>https://www.youtube.com/watch?v=cv0f9MMh_t4&amp;feature=youtu.be</w:t>
                    </w:r>
                  </w:hyperlink>
                  <w:r w:rsidRPr="00140AD1">
                    <w:rPr>
                      <w:rFonts w:ascii="Arial" w:hAnsi="Arial" w:cs="Arial"/>
                      <w:sz w:val="20"/>
                      <w:szCs w:val="20"/>
                    </w:rPr>
                    <w:t xml:space="preserve"> (181 views by 10/01/2020)</w:t>
                  </w:r>
                </w:p>
                <w:p w:rsidR="00366B4E" w:rsidRPr="00140AD1" w:rsidRDefault="00366B4E" w:rsidP="00537C76">
                  <w:pPr>
                    <w:spacing w:line="240" w:lineRule="auto"/>
                    <w:ind w:left="1446" w:hanging="284"/>
                    <w:contextualSpacing/>
                    <w:rPr>
                      <w:rFonts w:ascii="Arial" w:hAnsi="Arial" w:cs="Arial"/>
                      <w:sz w:val="20"/>
                      <w:szCs w:val="20"/>
                    </w:rPr>
                  </w:pPr>
                  <w:r>
                    <w:rPr>
                      <w:rFonts w:ascii="Arial" w:hAnsi="Arial" w:cs="Arial"/>
                      <w:sz w:val="20"/>
                      <w:szCs w:val="20"/>
                    </w:rPr>
                    <w:t>d) Webinar “</w:t>
                  </w:r>
                  <w:r w:rsidRPr="00366B4E">
                    <w:rPr>
                      <w:rFonts w:ascii="Arial" w:hAnsi="Arial" w:cs="Arial"/>
                      <w:sz w:val="20"/>
                      <w:szCs w:val="20"/>
                    </w:rPr>
                    <w:t>Use of Primary Health Care Records Data in Actuarial Research</w:t>
                  </w:r>
                  <w:r>
                    <w:rPr>
                      <w:rFonts w:ascii="Arial" w:hAnsi="Arial" w:cs="Arial"/>
                      <w:sz w:val="20"/>
                      <w:szCs w:val="20"/>
                    </w:rPr>
                    <w:t>” (09/03/2021)</w:t>
                  </w:r>
                </w:p>
                <w:p w:rsidR="00190872" w:rsidRDefault="00190872" w:rsidP="00537C76">
                  <w:pPr>
                    <w:spacing w:line="240" w:lineRule="auto"/>
                    <w:ind w:left="595"/>
                    <w:rPr>
                      <w:rFonts w:ascii="Arial" w:hAnsi="Arial" w:cs="Arial"/>
                      <w:b/>
                      <w:bCs/>
                      <w:sz w:val="20"/>
                      <w:szCs w:val="20"/>
                    </w:rPr>
                  </w:pPr>
                </w:p>
                <w:p w:rsidR="00140AD1" w:rsidRPr="00140AD1" w:rsidRDefault="00140AD1" w:rsidP="00537C76">
                  <w:pPr>
                    <w:spacing w:line="240" w:lineRule="auto"/>
                    <w:ind w:left="595"/>
                    <w:rPr>
                      <w:rFonts w:ascii="Arial" w:hAnsi="Arial" w:cs="Arial"/>
                      <w:sz w:val="20"/>
                      <w:szCs w:val="20"/>
                    </w:rPr>
                  </w:pPr>
                  <w:r w:rsidRPr="00140AD1">
                    <w:rPr>
                      <w:rFonts w:ascii="Arial" w:hAnsi="Arial" w:cs="Arial"/>
                      <w:b/>
                      <w:bCs/>
                      <w:sz w:val="20"/>
                      <w:szCs w:val="20"/>
                    </w:rPr>
                    <w:t>Dissemination via professional actuarial publications:</w:t>
                  </w:r>
                </w:p>
                <w:p w:rsidR="00140AD1" w:rsidRDefault="00140AD1" w:rsidP="00140AD1">
                  <w:pPr>
                    <w:pStyle w:val="Pa4"/>
                    <w:numPr>
                      <w:ilvl w:val="0"/>
                      <w:numId w:val="4"/>
                    </w:numPr>
                    <w:spacing w:line="240" w:lineRule="auto"/>
                    <w:ind w:left="1446" w:hanging="283"/>
                    <w:contextualSpacing/>
                    <w:rPr>
                      <w:rFonts w:ascii="Arial" w:hAnsi="Arial" w:cs="Arial"/>
                      <w:sz w:val="20"/>
                      <w:szCs w:val="20"/>
                    </w:rPr>
                  </w:pPr>
                  <w:r w:rsidRPr="00140AD1">
                    <w:rPr>
                      <w:rFonts w:ascii="Arial" w:hAnsi="Arial" w:cs="Arial"/>
                      <w:sz w:val="20"/>
                      <w:szCs w:val="20"/>
                    </w:rPr>
                    <w:t xml:space="preserve">Kulinskaya E and </w:t>
                  </w:r>
                  <w:proofErr w:type="spellStart"/>
                  <w:r w:rsidRPr="00140AD1">
                    <w:rPr>
                      <w:rFonts w:ascii="Arial" w:hAnsi="Arial" w:cs="Arial"/>
                      <w:sz w:val="20"/>
                      <w:szCs w:val="20"/>
                    </w:rPr>
                    <w:t>Gitsels</w:t>
                  </w:r>
                  <w:proofErr w:type="spellEnd"/>
                  <w:r w:rsidRPr="00140AD1">
                    <w:rPr>
                      <w:rFonts w:ascii="Arial" w:hAnsi="Arial" w:cs="Arial"/>
                      <w:sz w:val="20"/>
                      <w:szCs w:val="20"/>
                    </w:rPr>
                    <w:t xml:space="preserve"> LA (2016) Use of big health and actuarial data for understanding longevity and morbidity risk. </w:t>
                  </w:r>
                  <w:r w:rsidRPr="00140AD1">
                    <w:rPr>
                      <w:rFonts w:ascii="Arial" w:hAnsi="Arial" w:cs="Arial"/>
                      <w:i/>
                      <w:iCs/>
                      <w:sz w:val="20"/>
                      <w:szCs w:val="20"/>
                    </w:rPr>
                    <w:t>Longevity Bulletin by IFoA, Issue 9: Big Data in Health.</w:t>
                  </w:r>
                  <w:r w:rsidRPr="00140AD1">
                    <w:rPr>
                      <w:rFonts w:ascii="Arial" w:hAnsi="Arial" w:cs="Arial"/>
                      <w:sz w:val="20"/>
                      <w:szCs w:val="20"/>
                    </w:rPr>
                    <w:t xml:space="preserve"> ISSN 2397-7213.</w:t>
                  </w:r>
                </w:p>
                <w:p w:rsidR="00366B4E" w:rsidRPr="00366B4E" w:rsidRDefault="00366B4E" w:rsidP="00366B4E">
                  <w:pPr>
                    <w:rPr>
                      <w:lang w:eastAsia="en-GB"/>
                    </w:rPr>
                  </w:pPr>
                </w:p>
                <w:p w:rsidR="00D6740C" w:rsidRPr="00D6740C" w:rsidRDefault="00D6740C" w:rsidP="00D6740C">
                  <w:pPr>
                    <w:pStyle w:val="Heading1"/>
                    <w:keepLines w:val="0"/>
                    <w:spacing w:after="0" w:line="240" w:lineRule="auto"/>
                    <w:ind w:left="1446" w:firstLine="0"/>
                    <w:contextualSpacing/>
                    <w:textAlignment w:val="baseline"/>
                    <w:rPr>
                      <w:rFonts w:ascii="Arial" w:hAnsi="Arial" w:cs="Arial"/>
                      <w:b w:val="0"/>
                      <w:color w:val="0563C1" w:themeColor="hyperlink"/>
                      <w:sz w:val="20"/>
                      <w:szCs w:val="20"/>
                      <w:u w:val="single"/>
                    </w:rPr>
                  </w:pPr>
                </w:p>
                <w:p w:rsidR="00140AD1" w:rsidRDefault="00140AD1" w:rsidP="00140AD1">
                  <w:pPr>
                    <w:pStyle w:val="Heading1"/>
                    <w:keepLines w:val="0"/>
                    <w:numPr>
                      <w:ilvl w:val="0"/>
                      <w:numId w:val="4"/>
                    </w:numPr>
                    <w:spacing w:after="0" w:line="240" w:lineRule="auto"/>
                    <w:ind w:left="1446" w:hanging="283"/>
                    <w:contextualSpacing/>
                    <w:textAlignment w:val="baseline"/>
                    <w:rPr>
                      <w:rStyle w:val="Hyperlink"/>
                      <w:rFonts w:ascii="Arial" w:hAnsi="Arial" w:cs="Arial"/>
                      <w:b w:val="0"/>
                      <w:sz w:val="20"/>
                      <w:szCs w:val="20"/>
                    </w:rPr>
                  </w:pPr>
                  <w:proofErr w:type="spellStart"/>
                  <w:r w:rsidRPr="00140AD1">
                    <w:rPr>
                      <w:rFonts w:ascii="Arial" w:hAnsi="Arial" w:cs="Arial"/>
                      <w:b w:val="0"/>
                      <w:sz w:val="20"/>
                      <w:szCs w:val="20"/>
                    </w:rPr>
                    <w:t>Gitsels</w:t>
                  </w:r>
                  <w:proofErr w:type="spellEnd"/>
                  <w:r w:rsidRPr="00140AD1">
                    <w:rPr>
                      <w:rFonts w:ascii="Arial" w:hAnsi="Arial" w:cs="Arial"/>
                      <w:b w:val="0"/>
                      <w:sz w:val="20"/>
                      <w:szCs w:val="20"/>
                    </w:rPr>
                    <w:t xml:space="preserve"> LA and Kulinskaya E. (2018) “</w:t>
                  </w:r>
                  <w:r w:rsidRPr="00140AD1">
                    <w:rPr>
                      <w:rFonts w:ascii="Arial" w:hAnsi="Arial" w:cs="Arial"/>
                      <w:b w:val="0"/>
                      <w:spacing w:val="-15"/>
                      <w:kern w:val="36"/>
                      <w:sz w:val="20"/>
                      <w:szCs w:val="20"/>
                    </w:rPr>
                    <w:t xml:space="preserve">Statins: figures on the pulse” </w:t>
                  </w:r>
                  <w:r w:rsidRPr="00140AD1">
                    <w:rPr>
                      <w:rFonts w:ascii="Arial" w:hAnsi="Arial" w:cs="Arial"/>
                      <w:b w:val="0"/>
                      <w:i/>
                      <w:sz w:val="20"/>
                      <w:szCs w:val="20"/>
                    </w:rPr>
                    <w:t>The Actuary</w:t>
                  </w:r>
                  <w:r w:rsidRPr="00140AD1">
                    <w:rPr>
                      <w:rFonts w:ascii="Arial" w:hAnsi="Arial" w:cs="Arial"/>
                      <w:b w:val="0"/>
                      <w:sz w:val="20"/>
                      <w:szCs w:val="20"/>
                    </w:rPr>
                    <w:t xml:space="preserve"> </w:t>
                  </w:r>
                  <w:hyperlink r:id="rId9" w:history="1">
                    <w:r w:rsidRPr="00140AD1">
                      <w:rPr>
                        <w:rStyle w:val="Hyperlink"/>
                        <w:rFonts w:ascii="Arial" w:hAnsi="Arial" w:cs="Arial"/>
                        <w:b w:val="0"/>
                        <w:sz w:val="20"/>
                        <w:szCs w:val="20"/>
                      </w:rPr>
                      <w:t>http://www.theactuary.com/features/2018/08/statin-prescription-figures-on-the-pulse/</w:t>
                    </w:r>
                  </w:hyperlink>
                </w:p>
                <w:p w:rsidR="00190872" w:rsidRPr="00190872" w:rsidRDefault="00190872" w:rsidP="00190872">
                  <w:pPr>
                    <w:rPr>
                      <w:lang w:eastAsia="en-GB"/>
                    </w:rPr>
                  </w:pPr>
                </w:p>
                <w:p w:rsidR="00140AD1" w:rsidRPr="00140AD1" w:rsidRDefault="00140AD1" w:rsidP="00537C76">
                  <w:pPr>
                    <w:spacing w:line="240" w:lineRule="auto"/>
                    <w:ind w:left="595"/>
                    <w:rPr>
                      <w:rFonts w:ascii="Arial" w:eastAsia="Calibri" w:hAnsi="Arial" w:cs="Arial"/>
                      <w:color w:val="000000"/>
                      <w:sz w:val="20"/>
                      <w:szCs w:val="20"/>
                    </w:rPr>
                  </w:pPr>
                  <w:r w:rsidRPr="00140AD1">
                    <w:rPr>
                      <w:rFonts w:ascii="Arial" w:hAnsi="Arial" w:cs="Arial"/>
                      <w:b/>
                      <w:bCs/>
                      <w:sz w:val="20"/>
                      <w:szCs w:val="20"/>
                    </w:rPr>
                    <w:t xml:space="preserve">IFoA technical workshop: </w:t>
                  </w:r>
                  <w:r w:rsidRPr="00140AD1">
                    <w:rPr>
                      <w:rFonts w:ascii="Arial" w:eastAsia="Calibri" w:hAnsi="Arial" w:cs="Arial"/>
                      <w:color w:val="000000"/>
                      <w:sz w:val="20"/>
                      <w:szCs w:val="20"/>
                    </w:rPr>
                    <w:t>(filmed and available on YouTube).</w:t>
                  </w:r>
                  <w:r w:rsidRPr="00140AD1">
                    <w:rPr>
                      <w:rFonts w:ascii="Arial" w:hAnsi="Arial" w:cs="Arial"/>
                      <w:sz w:val="20"/>
                      <w:szCs w:val="20"/>
                    </w:rPr>
                    <w:t xml:space="preserve"> </w:t>
                  </w:r>
                  <w:hyperlink r:id="rId10" w:history="1">
                    <w:r w:rsidRPr="00140AD1">
                      <w:rPr>
                        <w:rStyle w:val="Hyperlink"/>
                        <w:rFonts w:ascii="Arial" w:hAnsi="Arial" w:cs="Arial"/>
                        <w:sz w:val="20"/>
                        <w:szCs w:val="20"/>
                      </w:rPr>
                      <w:t>https://www.youtube.com/watch?v=SwrfQ9y9zr4</w:t>
                    </w:r>
                  </w:hyperlink>
                  <w:r w:rsidRPr="00140AD1">
                    <w:rPr>
                      <w:rFonts w:ascii="Arial" w:hAnsi="Arial" w:cs="Arial"/>
                      <w:sz w:val="20"/>
                      <w:szCs w:val="20"/>
                    </w:rPr>
                    <w:t xml:space="preserve"> </w:t>
                  </w:r>
                  <w:hyperlink r:id="rId11" w:history="1">
                    <w:r w:rsidRPr="00140AD1">
                      <w:rPr>
                        <w:rStyle w:val="Hyperlink"/>
                        <w:rFonts w:ascii="Arial" w:eastAsia="Calibri" w:hAnsi="Arial" w:cs="Arial"/>
                        <w:sz w:val="20"/>
                        <w:szCs w:val="20"/>
                      </w:rPr>
                      <w:t>https://www.youtube.com/watch?v=25qa37Uxczk</w:t>
                    </w:r>
                  </w:hyperlink>
                  <w:r w:rsidRPr="00140AD1">
                    <w:rPr>
                      <w:rFonts w:ascii="Arial" w:eastAsia="Calibri" w:hAnsi="Arial" w:cs="Arial"/>
                      <w:color w:val="000000"/>
                      <w:sz w:val="20"/>
                      <w:szCs w:val="20"/>
                    </w:rPr>
                    <w:t xml:space="preserve"> </w:t>
                  </w:r>
                </w:p>
                <w:p w:rsidR="00140AD1" w:rsidRPr="00140AD1" w:rsidRDefault="00140AD1" w:rsidP="00537C76">
                  <w:pPr>
                    <w:spacing w:line="240" w:lineRule="auto"/>
                    <w:ind w:left="595"/>
                    <w:contextualSpacing/>
                    <w:rPr>
                      <w:rFonts w:ascii="Arial" w:hAnsi="Arial" w:cs="Arial"/>
                      <w:b/>
                      <w:bCs/>
                      <w:sz w:val="20"/>
                      <w:szCs w:val="20"/>
                    </w:rPr>
                  </w:pPr>
                  <w:r w:rsidRPr="00140AD1">
                    <w:rPr>
                      <w:rFonts w:ascii="Arial" w:hAnsi="Arial" w:cs="Arial"/>
                      <w:b/>
                      <w:bCs/>
                      <w:sz w:val="20"/>
                      <w:szCs w:val="20"/>
                    </w:rPr>
                    <w:t>Presentations to the IFoA Health and Care Research Sub-Committee:</w:t>
                  </w:r>
                </w:p>
                <w:p w:rsidR="00140AD1" w:rsidRDefault="00140AD1" w:rsidP="00537C76">
                  <w:pPr>
                    <w:spacing w:after="0" w:line="240" w:lineRule="auto"/>
                    <w:ind w:left="1446"/>
                    <w:contextualSpacing/>
                    <w:rPr>
                      <w:rFonts w:ascii="Arial" w:hAnsi="Arial" w:cs="Arial"/>
                      <w:sz w:val="20"/>
                      <w:szCs w:val="20"/>
                    </w:rPr>
                  </w:pPr>
                  <w:r w:rsidRPr="00140AD1">
                    <w:rPr>
                      <w:rFonts w:ascii="Arial" w:hAnsi="Arial" w:cs="Arial"/>
                      <w:sz w:val="20"/>
                      <w:szCs w:val="20"/>
                    </w:rPr>
                    <w:t>At the IFoA, London on 12 September 2018 and 24 October 2019</w:t>
                  </w:r>
                </w:p>
                <w:p w:rsidR="00190872" w:rsidRPr="00140AD1" w:rsidRDefault="00190872" w:rsidP="00537C76">
                  <w:pPr>
                    <w:spacing w:after="0" w:line="240" w:lineRule="auto"/>
                    <w:ind w:left="1446"/>
                    <w:contextualSpacing/>
                    <w:rPr>
                      <w:rFonts w:ascii="Arial" w:hAnsi="Arial" w:cs="Arial"/>
                      <w:sz w:val="20"/>
                      <w:szCs w:val="20"/>
                    </w:rPr>
                  </w:pPr>
                </w:p>
                <w:p w:rsidR="00140AD1" w:rsidRPr="00140AD1" w:rsidRDefault="00140AD1" w:rsidP="00537C76">
                  <w:pPr>
                    <w:spacing w:line="240" w:lineRule="auto"/>
                    <w:rPr>
                      <w:rFonts w:ascii="Arial" w:hAnsi="Arial" w:cs="Arial"/>
                      <w:sz w:val="20"/>
                      <w:szCs w:val="20"/>
                    </w:rPr>
                  </w:pPr>
                  <w:r w:rsidRPr="00140AD1">
                    <w:rPr>
                      <w:rFonts w:ascii="Arial" w:hAnsi="Arial" w:cs="Arial"/>
                      <w:sz w:val="20"/>
                      <w:szCs w:val="20"/>
                    </w:rPr>
                    <w:t xml:space="preserve">[C] </w:t>
                  </w:r>
                  <w:r w:rsidRPr="00366B4E">
                    <w:rPr>
                      <w:rFonts w:ascii="Arial" w:hAnsi="Arial" w:cs="Arial"/>
                      <w:b/>
                      <w:sz w:val="20"/>
                      <w:szCs w:val="20"/>
                    </w:rPr>
                    <w:t>Conference presentations</w:t>
                  </w:r>
                </w:p>
                <w:p w:rsidR="00140AD1" w:rsidRPr="00140AD1" w:rsidRDefault="00140AD1" w:rsidP="00537C76">
                  <w:pPr>
                    <w:spacing w:line="240" w:lineRule="auto"/>
                    <w:ind w:left="425"/>
                    <w:rPr>
                      <w:rFonts w:ascii="Arial" w:hAnsi="Arial" w:cs="Arial"/>
                      <w:color w:val="000000"/>
                      <w:sz w:val="20"/>
                      <w:szCs w:val="20"/>
                    </w:rPr>
                  </w:pPr>
                  <w:r w:rsidRPr="00140AD1">
                    <w:rPr>
                      <w:rFonts w:ascii="Arial" w:hAnsi="Arial" w:cs="Arial"/>
                      <w:sz w:val="20"/>
                      <w:szCs w:val="20"/>
                    </w:rPr>
                    <w:t xml:space="preserve">a) </w:t>
                  </w:r>
                  <w:r w:rsidRPr="00140AD1">
                    <w:rPr>
                      <w:rFonts w:ascii="Arial" w:hAnsi="Arial" w:cs="Arial"/>
                      <w:color w:val="000000"/>
                      <w:sz w:val="20"/>
                      <w:szCs w:val="20"/>
                    </w:rPr>
                    <w:t xml:space="preserve">International Congress of Actuaries (Berlin, June 2018), </w:t>
                  </w:r>
                </w:p>
                <w:p w:rsidR="00140AD1" w:rsidRPr="00140AD1" w:rsidRDefault="00140AD1" w:rsidP="00537C76">
                  <w:pPr>
                    <w:spacing w:line="240" w:lineRule="auto"/>
                    <w:ind w:left="425"/>
                    <w:rPr>
                      <w:rFonts w:ascii="Arial" w:hAnsi="Arial" w:cs="Arial"/>
                      <w:color w:val="000000"/>
                      <w:sz w:val="20"/>
                      <w:szCs w:val="20"/>
                    </w:rPr>
                  </w:pPr>
                  <w:r w:rsidRPr="00140AD1">
                    <w:rPr>
                      <w:rFonts w:ascii="Arial" w:hAnsi="Arial" w:cs="Arial"/>
                      <w:color w:val="000000"/>
                      <w:sz w:val="20"/>
                      <w:szCs w:val="20"/>
                    </w:rPr>
                    <w:t xml:space="preserve">b) International Biometric Society Conference (2018), </w:t>
                  </w:r>
                </w:p>
                <w:p w:rsidR="00140AD1" w:rsidRPr="00140AD1" w:rsidRDefault="00140AD1" w:rsidP="00537C76">
                  <w:pPr>
                    <w:spacing w:line="240" w:lineRule="auto"/>
                    <w:ind w:left="425"/>
                    <w:rPr>
                      <w:rFonts w:ascii="Arial" w:hAnsi="Arial" w:cs="Arial"/>
                      <w:color w:val="000000"/>
                      <w:sz w:val="20"/>
                      <w:szCs w:val="20"/>
                    </w:rPr>
                  </w:pPr>
                  <w:r w:rsidRPr="00140AD1">
                    <w:rPr>
                      <w:rFonts w:ascii="Arial" w:hAnsi="Arial" w:cs="Arial"/>
                      <w:color w:val="000000"/>
                      <w:sz w:val="20"/>
                      <w:szCs w:val="20"/>
                    </w:rPr>
                    <w:t xml:space="preserve">c) International Society for Clinical Biostatistics Conferences (2017, 2019), </w:t>
                  </w:r>
                </w:p>
                <w:p w:rsidR="00140AD1" w:rsidRPr="00140AD1" w:rsidRDefault="00140AD1" w:rsidP="00537C76">
                  <w:pPr>
                    <w:spacing w:line="240" w:lineRule="auto"/>
                    <w:ind w:left="425"/>
                    <w:rPr>
                      <w:rFonts w:ascii="Arial" w:hAnsi="Arial" w:cs="Arial"/>
                      <w:color w:val="000000"/>
                      <w:sz w:val="20"/>
                      <w:szCs w:val="20"/>
                    </w:rPr>
                  </w:pPr>
                  <w:r w:rsidRPr="00140AD1">
                    <w:rPr>
                      <w:rFonts w:ascii="Arial" w:hAnsi="Arial" w:cs="Arial"/>
                      <w:color w:val="000000"/>
                      <w:sz w:val="20"/>
                      <w:szCs w:val="20"/>
                    </w:rPr>
                    <w:t xml:space="preserve">d) Mortality and Longevity Symposiums (2016, 2019), </w:t>
                  </w:r>
                </w:p>
                <w:p w:rsidR="00140AD1" w:rsidRPr="00140AD1" w:rsidRDefault="00140AD1" w:rsidP="00537C76">
                  <w:pPr>
                    <w:spacing w:line="240" w:lineRule="auto"/>
                    <w:ind w:left="425"/>
                    <w:rPr>
                      <w:rFonts w:ascii="Arial" w:hAnsi="Arial" w:cs="Arial"/>
                      <w:color w:val="000000"/>
                      <w:sz w:val="20"/>
                      <w:szCs w:val="20"/>
                    </w:rPr>
                  </w:pPr>
                  <w:r w:rsidRPr="00140AD1">
                    <w:rPr>
                      <w:rFonts w:ascii="Arial" w:hAnsi="Arial" w:cs="Arial"/>
                      <w:color w:val="000000"/>
                      <w:sz w:val="20"/>
                      <w:szCs w:val="20"/>
                    </w:rPr>
                    <w:t xml:space="preserve">e) IFoA Life Conference (2017), </w:t>
                  </w:r>
                </w:p>
                <w:p w:rsidR="00140AD1" w:rsidRPr="00140AD1" w:rsidRDefault="00140AD1" w:rsidP="00537C76">
                  <w:pPr>
                    <w:spacing w:line="240" w:lineRule="auto"/>
                    <w:ind w:left="426"/>
                    <w:rPr>
                      <w:rFonts w:ascii="Arial" w:hAnsi="Arial" w:cs="Arial"/>
                      <w:color w:val="000000"/>
                      <w:sz w:val="20"/>
                      <w:szCs w:val="20"/>
                    </w:rPr>
                  </w:pPr>
                  <w:r w:rsidRPr="00140AD1">
                    <w:rPr>
                      <w:rFonts w:ascii="Arial" w:hAnsi="Arial" w:cs="Arial"/>
                      <w:color w:val="000000"/>
                      <w:sz w:val="20"/>
                      <w:szCs w:val="20"/>
                    </w:rPr>
                    <w:t>f) Royal Statistical Society conference (2017, 2019).</w:t>
                  </w:r>
                </w:p>
                <w:p w:rsidR="00140AD1" w:rsidRPr="00140AD1" w:rsidRDefault="00140AD1" w:rsidP="00537C76">
                  <w:pPr>
                    <w:spacing w:line="240" w:lineRule="auto"/>
                    <w:ind w:left="426"/>
                    <w:rPr>
                      <w:rFonts w:ascii="Arial" w:hAnsi="Arial" w:cs="Arial"/>
                      <w:color w:val="333333"/>
                      <w:sz w:val="20"/>
                      <w:szCs w:val="20"/>
                      <w:shd w:val="clear" w:color="auto" w:fill="FFFFFF"/>
                    </w:rPr>
                  </w:pPr>
                  <w:r w:rsidRPr="00140AD1">
                    <w:rPr>
                      <w:rFonts w:ascii="Arial" w:hAnsi="Arial" w:cs="Arial"/>
                      <w:color w:val="000000"/>
                      <w:sz w:val="20"/>
                      <w:szCs w:val="20"/>
                      <w:shd w:val="clear" w:color="auto" w:fill="FFFFFF"/>
                    </w:rPr>
                    <w:t xml:space="preserve">g) IFoA </w:t>
                  </w:r>
                  <w:r w:rsidRPr="00140AD1">
                    <w:rPr>
                      <w:rFonts w:ascii="Arial" w:hAnsi="Arial" w:cs="Arial"/>
                      <w:color w:val="333333"/>
                      <w:sz w:val="20"/>
                      <w:szCs w:val="20"/>
                      <w:shd w:val="clear" w:color="auto" w:fill="FFFFFF"/>
                    </w:rPr>
                    <w:t>Protection, Health &amp; Care Conference(2019)</w:t>
                  </w:r>
                </w:p>
                <w:p w:rsidR="00140AD1" w:rsidRPr="00140AD1" w:rsidRDefault="00140AD1" w:rsidP="00537C76">
                  <w:pPr>
                    <w:spacing w:line="240" w:lineRule="auto"/>
                    <w:ind w:left="426"/>
                    <w:rPr>
                      <w:rFonts w:ascii="Arial" w:hAnsi="Arial" w:cs="Arial"/>
                      <w:color w:val="000000"/>
                      <w:sz w:val="20"/>
                      <w:szCs w:val="20"/>
                    </w:rPr>
                  </w:pPr>
                  <w:r w:rsidRPr="00140AD1">
                    <w:rPr>
                      <w:rFonts w:ascii="Arial" w:hAnsi="Arial" w:cs="Arial"/>
                      <w:color w:val="000000"/>
                      <w:sz w:val="20"/>
                      <w:szCs w:val="20"/>
                      <w:shd w:val="clear" w:color="auto" w:fill="FFFFFF"/>
                    </w:rPr>
                    <w:t>h)The 2nd Insurance Data Science Conference (Zurich, Switzerland,  June 2019)</w:t>
                  </w:r>
                </w:p>
                <w:p w:rsidR="00140AD1" w:rsidRDefault="00140AD1" w:rsidP="00537C76">
                  <w:pPr>
                    <w:spacing w:after="0" w:line="240" w:lineRule="auto"/>
                    <w:ind w:left="426"/>
                    <w:rPr>
                      <w:rFonts w:ascii="Arial" w:hAnsi="Arial" w:cs="Arial"/>
                      <w:color w:val="333333"/>
                      <w:sz w:val="20"/>
                      <w:szCs w:val="20"/>
                      <w:shd w:val="clear" w:color="auto" w:fill="FFFFFF"/>
                    </w:rPr>
                  </w:pPr>
                  <w:proofErr w:type="spellStart"/>
                  <w:r w:rsidRPr="00140AD1">
                    <w:rPr>
                      <w:rFonts w:ascii="Arial" w:hAnsi="Arial" w:cs="Arial"/>
                      <w:color w:val="333333"/>
                      <w:sz w:val="20"/>
                      <w:szCs w:val="20"/>
                      <w:shd w:val="clear" w:color="auto" w:fill="FFFFFF"/>
                    </w:rPr>
                    <w:t>i</w:t>
                  </w:r>
                  <w:proofErr w:type="spellEnd"/>
                  <w:r w:rsidRPr="00140AD1">
                    <w:rPr>
                      <w:rFonts w:ascii="Arial" w:hAnsi="Arial" w:cs="Arial"/>
                      <w:color w:val="333333"/>
                      <w:sz w:val="20"/>
                      <w:szCs w:val="20"/>
                      <w:shd w:val="clear" w:color="auto" w:fill="FFFFFF"/>
                    </w:rPr>
                    <w:t>) The Online International Conference in Actuarial Science, Data Science and Finance (OICA), 28-29 April 2020</w:t>
                  </w:r>
                </w:p>
                <w:p w:rsidR="00190872" w:rsidRDefault="00190872" w:rsidP="00537C76">
                  <w:pPr>
                    <w:spacing w:after="0" w:line="240" w:lineRule="auto"/>
                    <w:ind w:left="426"/>
                    <w:rPr>
                      <w:rFonts w:ascii="Arial" w:hAnsi="Arial" w:cs="Arial"/>
                      <w:color w:val="333333"/>
                      <w:sz w:val="20"/>
                      <w:szCs w:val="20"/>
                      <w:shd w:val="clear" w:color="auto" w:fill="FFFFFF"/>
                    </w:rPr>
                  </w:pPr>
                </w:p>
                <w:p w:rsidR="00366B4E" w:rsidRDefault="00366B4E" w:rsidP="00537C76">
                  <w:pPr>
                    <w:spacing w:after="0" w:line="240" w:lineRule="auto"/>
                    <w:ind w:left="426"/>
                    <w:rPr>
                      <w:rFonts w:ascii="Arial" w:eastAsia="Calibri" w:hAnsi="Arial" w:cs="Arial"/>
                      <w:b/>
                      <w:color w:val="000000"/>
                      <w:sz w:val="20"/>
                      <w:szCs w:val="20"/>
                    </w:rPr>
                  </w:pPr>
                  <w:r>
                    <w:rPr>
                      <w:rFonts w:ascii="Arial" w:eastAsia="Calibri" w:hAnsi="Arial" w:cs="Arial"/>
                      <w:b/>
                      <w:color w:val="000000"/>
                      <w:sz w:val="20"/>
                      <w:szCs w:val="20"/>
                    </w:rPr>
                    <w:t xml:space="preserve">Presentations to </w:t>
                  </w:r>
                  <w:r w:rsidRPr="00366B4E">
                    <w:rPr>
                      <w:rFonts w:ascii="Arial" w:eastAsia="Calibri" w:hAnsi="Arial" w:cs="Arial"/>
                      <w:b/>
                      <w:color w:val="000000"/>
                      <w:sz w:val="20"/>
                      <w:szCs w:val="20"/>
                    </w:rPr>
                    <w:t>insurance and finance companies</w:t>
                  </w:r>
                </w:p>
                <w:p w:rsidR="00366B4E" w:rsidRDefault="00366B4E" w:rsidP="00537C76">
                  <w:pPr>
                    <w:spacing w:after="0" w:line="240" w:lineRule="auto"/>
                    <w:ind w:left="426"/>
                    <w:rPr>
                      <w:rFonts w:ascii="Arial" w:eastAsia="Calibri" w:hAnsi="Arial" w:cs="Arial"/>
                      <w:b/>
                      <w:color w:val="000000"/>
                      <w:sz w:val="20"/>
                      <w:szCs w:val="20"/>
                    </w:rPr>
                  </w:pPr>
                </w:p>
                <w:p w:rsidR="00366B4E" w:rsidRDefault="00366B4E" w:rsidP="00537C76">
                  <w:pPr>
                    <w:spacing w:after="0" w:line="240" w:lineRule="auto"/>
                    <w:ind w:left="426"/>
                    <w:rPr>
                      <w:rFonts w:ascii="Arial" w:hAnsi="Arial" w:cs="Arial"/>
                      <w:bCs/>
                      <w:color w:val="000000"/>
                      <w:sz w:val="20"/>
                      <w:szCs w:val="20"/>
                      <w:lang w:val="en-US"/>
                    </w:rPr>
                  </w:pPr>
                  <w:r>
                    <w:rPr>
                      <w:rFonts w:ascii="Arial" w:hAnsi="Arial" w:cs="Arial"/>
                      <w:color w:val="000000"/>
                      <w:sz w:val="20"/>
                      <w:szCs w:val="20"/>
                      <w:lang w:val="en-US"/>
                    </w:rPr>
                    <w:t xml:space="preserve">a) </w:t>
                  </w:r>
                  <w:r w:rsidR="00190872" w:rsidRPr="00140AD1">
                    <w:rPr>
                      <w:rFonts w:ascii="Arial" w:hAnsi="Arial" w:cs="Arial"/>
                      <w:color w:val="000000"/>
                      <w:sz w:val="20"/>
                      <w:szCs w:val="20"/>
                      <w:lang w:val="en-US"/>
                    </w:rPr>
                    <w:t>Longevity Science panel at Legal and General (</w:t>
                  </w:r>
                  <w:r w:rsidR="00190872" w:rsidRPr="00140AD1">
                    <w:rPr>
                      <w:rFonts w:ascii="Arial" w:hAnsi="Arial" w:cs="Arial"/>
                      <w:bCs/>
                      <w:color w:val="000000"/>
                      <w:sz w:val="20"/>
                      <w:szCs w:val="20"/>
                      <w:lang w:val="en-US"/>
                    </w:rPr>
                    <w:t>May 10, 2017</w:t>
                  </w:r>
                  <w:r>
                    <w:rPr>
                      <w:rFonts w:ascii="Arial" w:hAnsi="Arial" w:cs="Arial"/>
                      <w:bCs/>
                      <w:color w:val="000000"/>
                      <w:sz w:val="20"/>
                      <w:szCs w:val="20"/>
                      <w:lang w:val="en-US"/>
                    </w:rPr>
                    <w:t>)</w:t>
                  </w:r>
                </w:p>
                <w:p w:rsidR="00366B4E" w:rsidRDefault="00366B4E" w:rsidP="00537C76">
                  <w:pPr>
                    <w:spacing w:after="0" w:line="240" w:lineRule="auto"/>
                    <w:ind w:left="426"/>
                    <w:rPr>
                      <w:rFonts w:ascii="Arial" w:hAnsi="Arial" w:cs="Arial"/>
                      <w:bCs/>
                      <w:color w:val="000000"/>
                      <w:sz w:val="20"/>
                      <w:szCs w:val="20"/>
                      <w:lang w:val="en-US"/>
                    </w:rPr>
                  </w:pPr>
                </w:p>
                <w:p w:rsidR="00366B4E" w:rsidRDefault="00366B4E" w:rsidP="00537C76">
                  <w:pPr>
                    <w:spacing w:after="0" w:line="240" w:lineRule="auto"/>
                    <w:ind w:left="426"/>
                    <w:rPr>
                      <w:rFonts w:ascii="Arial" w:hAnsi="Arial" w:cs="Arial"/>
                      <w:bCs/>
                      <w:color w:val="000000"/>
                      <w:sz w:val="20"/>
                      <w:szCs w:val="20"/>
                      <w:lang w:val="en-US"/>
                    </w:rPr>
                  </w:pPr>
                  <w:r>
                    <w:rPr>
                      <w:rFonts w:ascii="Arial" w:hAnsi="Arial" w:cs="Arial"/>
                      <w:bCs/>
                      <w:color w:val="000000"/>
                      <w:sz w:val="20"/>
                      <w:szCs w:val="20"/>
                      <w:lang w:val="en-US"/>
                    </w:rPr>
                    <w:t xml:space="preserve">b) </w:t>
                  </w:r>
                  <w:r w:rsidR="00190872" w:rsidRPr="00140AD1">
                    <w:rPr>
                      <w:rFonts w:ascii="Arial" w:hAnsi="Arial" w:cs="Arial"/>
                      <w:bCs/>
                      <w:color w:val="000000"/>
                      <w:sz w:val="20"/>
                      <w:szCs w:val="20"/>
                      <w:lang w:val="en-US"/>
                    </w:rPr>
                    <w:t>Aviva L</w:t>
                  </w:r>
                  <w:r>
                    <w:rPr>
                      <w:rFonts w:ascii="Arial" w:hAnsi="Arial" w:cs="Arial"/>
                      <w:bCs/>
                      <w:color w:val="000000"/>
                      <w:sz w:val="20"/>
                      <w:szCs w:val="20"/>
                      <w:lang w:val="en-US"/>
                    </w:rPr>
                    <w:t>ife actuaries (18 October 2018)</w:t>
                  </w:r>
                </w:p>
                <w:p w:rsidR="00366B4E" w:rsidRDefault="00366B4E" w:rsidP="00537C76">
                  <w:pPr>
                    <w:spacing w:after="0" w:line="240" w:lineRule="auto"/>
                    <w:ind w:left="426"/>
                    <w:rPr>
                      <w:rFonts w:ascii="Arial" w:hAnsi="Arial" w:cs="Arial"/>
                      <w:bCs/>
                      <w:color w:val="000000"/>
                      <w:sz w:val="20"/>
                      <w:szCs w:val="20"/>
                      <w:lang w:val="en-US"/>
                    </w:rPr>
                  </w:pPr>
                </w:p>
                <w:p w:rsidR="00366B4E" w:rsidRDefault="00366B4E" w:rsidP="00537C76">
                  <w:pPr>
                    <w:spacing w:after="0" w:line="240" w:lineRule="auto"/>
                    <w:ind w:left="426"/>
                    <w:rPr>
                      <w:rFonts w:ascii="Arial" w:hAnsi="Arial" w:cs="Arial"/>
                      <w:bCs/>
                      <w:color w:val="000000"/>
                      <w:sz w:val="20"/>
                      <w:szCs w:val="20"/>
                      <w:lang w:val="en-US"/>
                    </w:rPr>
                  </w:pPr>
                  <w:r>
                    <w:rPr>
                      <w:rFonts w:ascii="Arial" w:hAnsi="Arial" w:cs="Arial"/>
                      <w:bCs/>
                      <w:color w:val="000000"/>
                      <w:sz w:val="20"/>
                      <w:szCs w:val="20"/>
                      <w:lang w:val="en-US"/>
                    </w:rPr>
                    <w:t>c)</w:t>
                  </w:r>
                  <w:r w:rsidR="00190872" w:rsidRPr="00140AD1">
                    <w:rPr>
                      <w:rFonts w:ascii="Arial" w:hAnsi="Arial" w:cs="Arial"/>
                      <w:bCs/>
                      <w:color w:val="000000"/>
                      <w:sz w:val="20"/>
                      <w:szCs w:val="20"/>
                      <w:lang w:val="en-US"/>
                    </w:rPr>
                    <w:t xml:space="preserve"> PWC pensions team (October 24, 2019) </w:t>
                  </w:r>
                </w:p>
                <w:p w:rsidR="00366B4E" w:rsidRDefault="00366B4E" w:rsidP="00537C76">
                  <w:pPr>
                    <w:spacing w:after="0" w:line="240" w:lineRule="auto"/>
                    <w:ind w:left="426"/>
                    <w:rPr>
                      <w:rFonts w:ascii="Arial" w:hAnsi="Arial" w:cs="Arial"/>
                      <w:bCs/>
                      <w:color w:val="000000"/>
                      <w:sz w:val="20"/>
                      <w:szCs w:val="20"/>
                      <w:lang w:val="en-US"/>
                    </w:rPr>
                  </w:pPr>
                </w:p>
                <w:p w:rsidR="00190872" w:rsidRDefault="00366B4E" w:rsidP="00537C76">
                  <w:pPr>
                    <w:spacing w:after="0" w:line="240" w:lineRule="auto"/>
                    <w:ind w:left="426"/>
                    <w:rPr>
                      <w:rFonts w:ascii="Arial" w:hAnsi="Arial" w:cs="Arial"/>
                      <w:color w:val="333333"/>
                      <w:sz w:val="20"/>
                      <w:szCs w:val="20"/>
                      <w:shd w:val="clear" w:color="auto" w:fill="FFFFFF"/>
                    </w:rPr>
                  </w:pPr>
                  <w:r>
                    <w:rPr>
                      <w:rFonts w:ascii="Arial" w:hAnsi="Arial" w:cs="Arial"/>
                      <w:bCs/>
                      <w:color w:val="000000"/>
                      <w:sz w:val="20"/>
                      <w:szCs w:val="20"/>
                      <w:lang w:val="en-US"/>
                    </w:rPr>
                    <w:t xml:space="preserve">d) </w:t>
                  </w:r>
                  <w:r w:rsidR="00190872" w:rsidRPr="00140AD1">
                    <w:rPr>
                      <w:rFonts w:ascii="Arial" w:hAnsi="Arial" w:cs="Arial"/>
                      <w:bCs/>
                      <w:color w:val="000000"/>
                      <w:sz w:val="20"/>
                      <w:szCs w:val="20"/>
                      <w:lang w:val="en-US"/>
                    </w:rPr>
                    <w:t>Just actuaries (24 February 2020)</w:t>
                  </w:r>
                </w:p>
                <w:p w:rsidR="00190872" w:rsidRPr="00140AD1" w:rsidRDefault="00190872" w:rsidP="00537C76">
                  <w:pPr>
                    <w:spacing w:after="0" w:line="240" w:lineRule="auto"/>
                    <w:ind w:left="426"/>
                    <w:rPr>
                      <w:rFonts w:ascii="Arial" w:hAnsi="Arial" w:cs="Arial"/>
                      <w:color w:val="000000"/>
                      <w:sz w:val="20"/>
                      <w:szCs w:val="20"/>
                    </w:rPr>
                  </w:pPr>
                </w:p>
                <w:p w:rsidR="00140AD1" w:rsidRPr="00140AD1" w:rsidRDefault="00140AD1" w:rsidP="00537C76">
                  <w:pPr>
                    <w:spacing w:after="120" w:line="240" w:lineRule="auto"/>
                    <w:rPr>
                      <w:rFonts w:ascii="Arial" w:hAnsi="Arial" w:cs="Arial"/>
                      <w:sz w:val="20"/>
                      <w:szCs w:val="20"/>
                    </w:rPr>
                  </w:pPr>
                  <w:r w:rsidRPr="00140AD1">
                    <w:rPr>
                      <w:rFonts w:ascii="Arial" w:hAnsi="Arial" w:cs="Arial"/>
                      <w:sz w:val="20"/>
                      <w:szCs w:val="20"/>
                    </w:rPr>
                    <w:t xml:space="preserve">[D] mirror of UEA website </w:t>
                  </w:r>
                  <w:hyperlink r:id="rId12" w:history="1">
                    <w:r w:rsidRPr="00140AD1">
                      <w:rPr>
                        <w:rStyle w:val="Hyperlink"/>
                        <w:rFonts w:ascii="Arial" w:hAnsi="Arial" w:cs="Arial"/>
                        <w:sz w:val="20"/>
                        <w:szCs w:val="20"/>
                      </w:rPr>
                      <w:t>https://www.actuaries.org.uk/learn-and-develop/research-and-knowledge/actuarial-research-centre-arc/research-programmes/use-big-health-and-actuarial-data-understanding-longevity-and-morbidity-risks</w:t>
                    </w:r>
                  </w:hyperlink>
                  <w:r w:rsidRPr="00140AD1">
                    <w:rPr>
                      <w:rFonts w:ascii="Arial" w:hAnsi="Arial" w:cs="Arial"/>
                      <w:sz w:val="20"/>
                      <w:szCs w:val="20"/>
                    </w:rPr>
                    <w:t xml:space="preserve"> </w:t>
                  </w:r>
                </w:p>
                <w:p w:rsidR="00140AD1" w:rsidRPr="00140AD1" w:rsidRDefault="00140AD1" w:rsidP="00537C76">
                  <w:pPr>
                    <w:pStyle w:val="Heading1"/>
                    <w:spacing w:after="120" w:line="240" w:lineRule="auto"/>
                    <w:ind w:left="27"/>
                    <w:contextualSpacing/>
                    <w:textAlignment w:val="baseline"/>
                    <w:rPr>
                      <w:rFonts w:ascii="Arial" w:hAnsi="Arial" w:cs="Arial"/>
                      <w:sz w:val="20"/>
                      <w:szCs w:val="20"/>
                    </w:rPr>
                  </w:pPr>
                  <w:r w:rsidRPr="00140AD1">
                    <w:rPr>
                      <w:rFonts w:ascii="Arial" w:hAnsi="Arial" w:cs="Arial"/>
                      <w:b w:val="0"/>
                      <w:sz w:val="20"/>
                      <w:szCs w:val="20"/>
                    </w:rPr>
                    <w:t>[E] Aviva Testimonial</w:t>
                  </w:r>
                </w:p>
                <w:p w:rsidR="00140AD1" w:rsidRPr="00140AD1" w:rsidRDefault="00140AD1" w:rsidP="00537C76">
                  <w:pPr>
                    <w:spacing w:after="120" w:line="240" w:lineRule="auto"/>
                    <w:contextualSpacing/>
                    <w:rPr>
                      <w:rFonts w:ascii="Arial" w:hAnsi="Arial" w:cs="Arial"/>
                      <w:sz w:val="20"/>
                      <w:szCs w:val="20"/>
                    </w:rPr>
                  </w:pPr>
                  <w:r w:rsidRPr="00140AD1">
                    <w:rPr>
                      <w:rFonts w:ascii="Arial" w:hAnsi="Arial" w:cs="Arial"/>
                      <w:sz w:val="20"/>
                      <w:szCs w:val="20"/>
                    </w:rPr>
                    <w:t xml:space="preserve">[F] </w:t>
                  </w:r>
                  <w:proofErr w:type="spellStart"/>
                  <w:r w:rsidRPr="00140AD1">
                    <w:rPr>
                      <w:rFonts w:ascii="Arial" w:hAnsi="Arial" w:cs="Arial"/>
                      <w:sz w:val="20"/>
                      <w:szCs w:val="20"/>
                    </w:rPr>
                    <w:t>MyLongevity</w:t>
                  </w:r>
                  <w:proofErr w:type="spellEnd"/>
                  <w:r w:rsidRPr="00140AD1">
                    <w:rPr>
                      <w:rFonts w:ascii="Arial" w:hAnsi="Arial" w:cs="Arial"/>
                      <w:sz w:val="20"/>
                      <w:szCs w:val="20"/>
                    </w:rPr>
                    <w:t xml:space="preserve"> App, Google Analytics and feedback</w:t>
                  </w:r>
                </w:p>
                <w:p w:rsidR="00140AD1" w:rsidRPr="00140AD1" w:rsidRDefault="00140AD1" w:rsidP="00537C76">
                  <w:pPr>
                    <w:pStyle w:val="ListParagraph"/>
                    <w:spacing w:after="120"/>
                    <w:ind w:left="426" w:hanging="426"/>
                    <w:rPr>
                      <w:rFonts w:ascii="Arial" w:hAnsi="Arial" w:cs="Arial"/>
                      <w:sz w:val="20"/>
                      <w:szCs w:val="20"/>
                    </w:rPr>
                  </w:pPr>
                  <w:r w:rsidRPr="00140AD1">
                    <w:rPr>
                      <w:rFonts w:ascii="Arial" w:hAnsi="Arial" w:cs="Arial"/>
                      <w:sz w:val="20"/>
                      <w:szCs w:val="20"/>
                    </w:rPr>
                    <w:t>[G] One-day workshop entitled “</w:t>
                  </w:r>
                  <w:r w:rsidRPr="00140AD1">
                    <w:rPr>
                      <w:rFonts w:ascii="Arial" w:hAnsi="Arial" w:cs="Arial"/>
                      <w:bCs/>
                      <w:sz w:val="20"/>
                      <w:szCs w:val="20"/>
                    </w:rPr>
                    <w:t>The impact of medical advances and health interventions on longevity and population projections</w:t>
                  </w:r>
                  <w:r w:rsidRPr="00140AD1">
                    <w:rPr>
                      <w:rFonts w:ascii="Arial" w:hAnsi="Arial" w:cs="Arial"/>
                      <w:b/>
                      <w:bCs/>
                      <w:sz w:val="20"/>
                      <w:szCs w:val="20"/>
                    </w:rPr>
                    <w:t>”</w:t>
                  </w:r>
                  <w:r w:rsidRPr="00140AD1">
                    <w:rPr>
                      <w:rFonts w:ascii="Arial" w:hAnsi="Arial" w:cs="Arial"/>
                      <w:sz w:val="20"/>
                      <w:szCs w:val="20"/>
                    </w:rPr>
                    <w:t xml:space="preserve"> 17 May 2018,</w:t>
                  </w:r>
                  <w:r w:rsidRPr="00140AD1">
                    <w:rPr>
                      <w:rFonts w:ascii="Arial" w:hAnsi="Arial" w:cs="Arial"/>
                      <w:color w:val="000000"/>
                      <w:sz w:val="20"/>
                      <w:szCs w:val="20"/>
                    </w:rPr>
                    <w:t xml:space="preserve"> available on YouTube at:</w:t>
                  </w:r>
                  <w:r w:rsidRPr="00140AD1">
                    <w:rPr>
                      <w:rFonts w:ascii="Arial" w:hAnsi="Arial" w:cs="Arial"/>
                      <w:sz w:val="20"/>
                      <w:szCs w:val="20"/>
                    </w:rPr>
                    <w:t xml:space="preserve"> </w:t>
                  </w:r>
                  <w:hyperlink r:id="rId13" w:history="1">
                    <w:r w:rsidRPr="00140AD1">
                      <w:rPr>
                        <w:rStyle w:val="Hyperlink"/>
                        <w:rFonts w:ascii="Arial" w:hAnsi="Arial" w:cs="Arial"/>
                        <w:sz w:val="20"/>
                        <w:szCs w:val="20"/>
                      </w:rPr>
                      <w:t>https://www.youtube.com/watch?v=cv0f9MMh_t4&amp;t=9s</w:t>
                    </w:r>
                  </w:hyperlink>
                </w:p>
                <w:p w:rsidR="00140AD1" w:rsidRPr="00140AD1" w:rsidRDefault="00140AD1" w:rsidP="00537C76">
                  <w:pPr>
                    <w:spacing w:after="120" w:line="240" w:lineRule="auto"/>
                    <w:contextualSpacing/>
                    <w:rPr>
                      <w:rFonts w:ascii="Arial" w:hAnsi="Arial" w:cs="Arial"/>
                      <w:sz w:val="20"/>
                      <w:szCs w:val="20"/>
                    </w:rPr>
                  </w:pPr>
                  <w:r w:rsidRPr="00140AD1">
                    <w:rPr>
                      <w:rFonts w:ascii="Arial" w:hAnsi="Arial" w:cs="Arial"/>
                      <w:sz w:val="20"/>
                      <w:szCs w:val="20"/>
                    </w:rPr>
                    <w:t xml:space="preserve">[H] Article by the IFoA President entitled ‘Big Health, Big Impact Big Data’ published in The Actuary magazine, July 2018 edition. </w:t>
                  </w:r>
                </w:p>
                <w:p w:rsidR="00140AD1" w:rsidRPr="00140AD1" w:rsidRDefault="00140AD1" w:rsidP="00537C76">
                  <w:pPr>
                    <w:spacing w:after="120" w:line="240" w:lineRule="auto"/>
                    <w:contextualSpacing/>
                    <w:rPr>
                      <w:rFonts w:ascii="Arial" w:hAnsi="Arial" w:cs="Arial"/>
                      <w:sz w:val="20"/>
                      <w:szCs w:val="20"/>
                    </w:rPr>
                  </w:pPr>
                </w:p>
                <w:p w:rsidR="00140AD1" w:rsidRPr="00140AD1" w:rsidRDefault="00140AD1" w:rsidP="00537C76">
                  <w:pPr>
                    <w:spacing w:after="120" w:line="240" w:lineRule="auto"/>
                    <w:contextualSpacing/>
                    <w:rPr>
                      <w:rFonts w:ascii="Arial" w:hAnsi="Arial" w:cs="Arial"/>
                      <w:color w:val="000000"/>
                      <w:sz w:val="20"/>
                      <w:szCs w:val="20"/>
                    </w:rPr>
                  </w:pPr>
                  <w:r w:rsidRPr="00140AD1">
                    <w:rPr>
                      <w:rFonts w:ascii="Arial" w:hAnsi="Arial" w:cs="Arial"/>
                      <w:color w:val="000000"/>
                      <w:sz w:val="20"/>
                      <w:szCs w:val="20"/>
                    </w:rPr>
                    <w:t xml:space="preserve">[I] IFoA’s response to the LSE-Lancet Commission: the future of the NHS call for evidence, 30 July 2018. </w:t>
                  </w:r>
                </w:p>
                <w:p w:rsidR="00140AD1" w:rsidRPr="00140AD1" w:rsidRDefault="00140AD1" w:rsidP="00537C76">
                  <w:pPr>
                    <w:spacing w:after="120" w:line="240" w:lineRule="auto"/>
                    <w:contextualSpacing/>
                    <w:rPr>
                      <w:rFonts w:ascii="Arial" w:hAnsi="Arial" w:cs="Arial"/>
                      <w:color w:val="000000"/>
                      <w:sz w:val="20"/>
                      <w:szCs w:val="20"/>
                    </w:rPr>
                  </w:pPr>
                </w:p>
                <w:p w:rsidR="00140AD1" w:rsidRDefault="00140AD1" w:rsidP="00537C76">
                  <w:pPr>
                    <w:spacing w:after="120" w:line="240" w:lineRule="auto"/>
                    <w:contextualSpacing/>
                    <w:rPr>
                      <w:rFonts w:ascii="Arial" w:hAnsi="Arial" w:cs="Arial"/>
                      <w:sz w:val="20"/>
                      <w:szCs w:val="20"/>
                    </w:rPr>
                  </w:pPr>
                  <w:r w:rsidRPr="00140AD1">
                    <w:rPr>
                      <w:rFonts w:ascii="Arial" w:hAnsi="Arial" w:cs="Arial"/>
                      <w:sz w:val="20"/>
                      <w:szCs w:val="20"/>
                    </w:rPr>
                    <w:t xml:space="preserve">[J] IFoA’s presentation to the joint consultation between the Department for Health and Social Care and the Cabinet Office  on </w:t>
                  </w:r>
                  <w:hyperlink r:id="rId14" w:history="1">
                    <w:r w:rsidRPr="00140AD1">
                      <w:rPr>
                        <w:rStyle w:val="Hyperlink"/>
                        <w:rFonts w:ascii="Arial" w:hAnsi="Arial" w:cs="Arial"/>
                        <w:sz w:val="20"/>
                        <w:szCs w:val="20"/>
                      </w:rPr>
                      <w:t>Advancing our health: prevention in the 2020s</w:t>
                    </w:r>
                  </w:hyperlink>
                  <w:r w:rsidRPr="00140AD1">
                    <w:rPr>
                      <w:rFonts w:ascii="Arial" w:hAnsi="Arial" w:cs="Arial"/>
                      <w:sz w:val="20"/>
                      <w:szCs w:val="20"/>
                    </w:rPr>
                    <w:t>, October 2019.</w:t>
                  </w:r>
                </w:p>
                <w:p w:rsidR="00D6740C" w:rsidRPr="00140AD1" w:rsidRDefault="00D6740C" w:rsidP="00537C76">
                  <w:pPr>
                    <w:spacing w:after="120" w:line="240" w:lineRule="auto"/>
                    <w:contextualSpacing/>
                    <w:rPr>
                      <w:rFonts w:ascii="Arial" w:hAnsi="Arial" w:cs="Arial"/>
                      <w:color w:val="000000"/>
                      <w:sz w:val="20"/>
                      <w:szCs w:val="20"/>
                    </w:rPr>
                  </w:pPr>
                  <w:bookmarkStart w:id="1" w:name="_GoBack"/>
                  <w:bookmarkEnd w:id="1"/>
                </w:p>
              </w:tc>
            </w:tr>
          </w:tbl>
          <w:p w:rsidR="00140AD1" w:rsidRPr="00140AD1" w:rsidRDefault="00140AD1" w:rsidP="00537C76">
            <w:pPr>
              <w:autoSpaceDE w:val="0"/>
              <w:autoSpaceDN w:val="0"/>
              <w:adjustRightInd w:val="0"/>
              <w:spacing w:line="240" w:lineRule="auto"/>
              <w:rPr>
                <w:rFonts w:ascii="Arial" w:hAnsi="Arial" w:cs="Arial"/>
                <w:sz w:val="20"/>
                <w:szCs w:val="20"/>
              </w:rPr>
            </w:pPr>
          </w:p>
        </w:tc>
      </w:tr>
    </w:tbl>
    <w:p w:rsidR="00140AD1" w:rsidRPr="00366B4E" w:rsidRDefault="00140AD1" w:rsidP="00366B4E"/>
    <w:sectPr w:rsidR="00140AD1" w:rsidRPr="00366B4E" w:rsidSect="00D6740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altName w:val="Times New Roman"/>
    <w:panose1 w:val="00000000000000000000"/>
    <w:charset w:val="00"/>
    <w:family w:val="modern"/>
    <w:notTrueType/>
    <w:pitch w:val="variable"/>
    <w:sig w:usb0="800000AF" w:usb1="50000048" w:usb2="00000000" w:usb3="00000000" w:csb0="0000011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0A9"/>
    <w:multiLevelType w:val="hybridMultilevel"/>
    <w:tmpl w:val="F54E56E8"/>
    <w:lvl w:ilvl="0" w:tplc="08090001">
      <w:start w:val="1"/>
      <w:numFmt w:val="bullet"/>
      <w:lvlText w:val=""/>
      <w:lvlJc w:val="left"/>
      <w:pPr>
        <w:ind w:left="720" w:hanging="360"/>
      </w:pPr>
      <w:rPr>
        <w:rFonts w:ascii="Symbol" w:hAnsi="Symbol" w:cs="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63973"/>
    <w:multiLevelType w:val="hybridMultilevel"/>
    <w:tmpl w:val="70F60E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7A576E"/>
    <w:multiLevelType w:val="hybridMultilevel"/>
    <w:tmpl w:val="C9A09146"/>
    <w:lvl w:ilvl="0" w:tplc="08090017">
      <w:start w:val="1"/>
      <w:numFmt w:val="lowerLetter"/>
      <w:lvlText w:val="%1)"/>
      <w:lvlJc w:val="left"/>
      <w:pPr>
        <w:ind w:left="1391" w:hanging="360"/>
      </w:p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3" w15:restartNumberingAfterBreak="0">
    <w:nsid w:val="23720813"/>
    <w:multiLevelType w:val="hybridMultilevel"/>
    <w:tmpl w:val="EFB44F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7425334"/>
    <w:multiLevelType w:val="hybridMultilevel"/>
    <w:tmpl w:val="5A9A5AE6"/>
    <w:lvl w:ilvl="0" w:tplc="6E38E3C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48E11CB5"/>
    <w:multiLevelType w:val="hybridMultilevel"/>
    <w:tmpl w:val="66BEF0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26D3A"/>
    <w:multiLevelType w:val="hybridMultilevel"/>
    <w:tmpl w:val="219A5A92"/>
    <w:lvl w:ilvl="0" w:tplc="08090001">
      <w:start w:val="1"/>
      <w:numFmt w:val="bullet"/>
      <w:lvlText w:val=""/>
      <w:lvlJc w:val="left"/>
      <w:pPr>
        <w:ind w:left="462" w:hanging="360"/>
      </w:pPr>
      <w:rPr>
        <w:rFonts w:ascii="Symbol" w:hAnsi="Symbol" w:hint="default"/>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7" w15:restartNumberingAfterBreak="0">
    <w:nsid w:val="5AB64767"/>
    <w:multiLevelType w:val="hybridMultilevel"/>
    <w:tmpl w:val="0D7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E7DFF"/>
    <w:multiLevelType w:val="hybridMultilevel"/>
    <w:tmpl w:val="C630C560"/>
    <w:lvl w:ilvl="0" w:tplc="E5825C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1"/>
    <w:rsid w:val="00140AD1"/>
    <w:rsid w:val="00190872"/>
    <w:rsid w:val="00366B4E"/>
    <w:rsid w:val="00A061D9"/>
    <w:rsid w:val="00D6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A3C2C-59DE-4677-A92C-BFC124C1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D1"/>
    <w:pPr>
      <w:spacing w:after="200" w:line="276" w:lineRule="auto"/>
    </w:pPr>
  </w:style>
  <w:style w:type="paragraph" w:styleId="Heading1">
    <w:name w:val="heading 1"/>
    <w:next w:val="Normal"/>
    <w:link w:val="Heading1Char"/>
    <w:uiPriority w:val="9"/>
    <w:unhideWhenUsed/>
    <w:qFormat/>
    <w:rsid w:val="00140AD1"/>
    <w:pPr>
      <w:keepNext/>
      <w:keepLines/>
      <w:spacing w:after="9" w:line="249" w:lineRule="auto"/>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AD1"/>
    <w:rPr>
      <w:rFonts w:ascii="Calibri" w:eastAsia="Calibri" w:hAnsi="Calibri" w:cs="Calibri"/>
      <w:b/>
      <w:color w:val="000000"/>
      <w:lang w:eastAsia="en-GB"/>
    </w:rPr>
  </w:style>
  <w:style w:type="character" w:styleId="Hyperlink">
    <w:name w:val="Hyperlink"/>
    <w:basedOn w:val="DefaultParagraphFont"/>
    <w:uiPriority w:val="99"/>
    <w:unhideWhenUsed/>
    <w:rsid w:val="00140AD1"/>
    <w:rPr>
      <w:color w:val="0563C1" w:themeColor="hyperlink"/>
      <w:u w:val="single"/>
    </w:rPr>
  </w:style>
  <w:style w:type="paragraph" w:styleId="ListParagraph">
    <w:name w:val="List Paragraph"/>
    <w:basedOn w:val="Normal"/>
    <w:link w:val="ListParagraphChar"/>
    <w:uiPriority w:val="34"/>
    <w:qFormat/>
    <w:rsid w:val="00140AD1"/>
    <w:pPr>
      <w:ind w:left="720"/>
      <w:contextualSpacing/>
    </w:pPr>
  </w:style>
  <w:style w:type="character" w:customStyle="1" w:styleId="ListParagraphChar">
    <w:name w:val="List Paragraph Char"/>
    <w:link w:val="ListParagraph"/>
    <w:uiPriority w:val="34"/>
    <w:rsid w:val="00140AD1"/>
  </w:style>
  <w:style w:type="paragraph" w:customStyle="1" w:styleId="Pa4">
    <w:name w:val="Pa4"/>
    <w:basedOn w:val="Normal"/>
    <w:next w:val="Normal"/>
    <w:uiPriority w:val="99"/>
    <w:rsid w:val="00140AD1"/>
    <w:pPr>
      <w:autoSpaceDE w:val="0"/>
      <w:autoSpaceDN w:val="0"/>
      <w:adjustRightInd w:val="0"/>
      <w:spacing w:after="0" w:line="761" w:lineRule="atLeast"/>
    </w:pPr>
    <w:rPr>
      <w:rFonts w:ascii="Gotham Light" w:eastAsia="Times New Roman" w:hAnsi="Gotham Light" w:cs="Times New Roman"/>
      <w:sz w:val="24"/>
      <w:szCs w:val="24"/>
      <w:lang w:eastAsia="en-GB"/>
    </w:rPr>
  </w:style>
  <w:style w:type="character" w:customStyle="1" w:styleId="highwire-cite-metadata-doi">
    <w:name w:val="highwire-cite-metadata-doi"/>
    <w:rsid w:val="00140AD1"/>
  </w:style>
  <w:style w:type="character" w:customStyle="1" w:styleId="view-count">
    <w:name w:val="view-count"/>
    <w:rsid w:val="00140AD1"/>
  </w:style>
  <w:style w:type="character" w:customStyle="1" w:styleId="PlainTextChar">
    <w:name w:val="Plain Text Char"/>
    <w:link w:val="PlainText"/>
    <w:uiPriority w:val="99"/>
    <w:locked/>
    <w:rsid w:val="00140AD1"/>
    <w:rPr>
      <w:rFonts w:ascii="Courier New" w:hAnsi="Courier New"/>
    </w:rPr>
  </w:style>
  <w:style w:type="paragraph" w:styleId="PlainText">
    <w:name w:val="Plain Text"/>
    <w:basedOn w:val="Normal"/>
    <w:link w:val="PlainTextChar"/>
    <w:uiPriority w:val="99"/>
    <w:rsid w:val="00140AD1"/>
    <w:pPr>
      <w:spacing w:after="0" w:line="240" w:lineRule="auto"/>
    </w:pPr>
    <w:rPr>
      <w:rFonts w:ascii="Courier New" w:hAnsi="Courier New"/>
    </w:rPr>
  </w:style>
  <w:style w:type="character" w:customStyle="1" w:styleId="PlainTextChar1">
    <w:name w:val="Plain Text Char1"/>
    <w:basedOn w:val="DefaultParagraphFont"/>
    <w:uiPriority w:val="99"/>
    <w:semiHidden/>
    <w:rsid w:val="00140AD1"/>
    <w:rPr>
      <w:rFonts w:ascii="Consolas" w:hAnsi="Consolas" w:cs="Consolas"/>
      <w:sz w:val="21"/>
      <w:szCs w:val="21"/>
    </w:rPr>
  </w:style>
  <w:style w:type="character" w:customStyle="1" w:styleId="normaltextrun">
    <w:name w:val="normaltextrun"/>
    <w:basedOn w:val="DefaultParagraphFont"/>
    <w:rsid w:val="00140AD1"/>
  </w:style>
  <w:style w:type="paragraph" w:customStyle="1" w:styleId="paragraph">
    <w:name w:val="paragraph"/>
    <w:basedOn w:val="Normal"/>
    <w:rsid w:val="00140A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40AD1"/>
  </w:style>
  <w:style w:type="character" w:customStyle="1" w:styleId="apple-converted-space">
    <w:name w:val="apple-converted-space"/>
    <w:basedOn w:val="DefaultParagraphFont"/>
    <w:rsid w:val="00140AD1"/>
  </w:style>
  <w:style w:type="character" w:styleId="Emphasis">
    <w:name w:val="Emphasis"/>
    <w:basedOn w:val="DefaultParagraphFont"/>
    <w:uiPriority w:val="20"/>
    <w:qFormat/>
    <w:rsid w:val="00140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0f9MMh_t4&amp;feature=youtu.be" TargetMode="External"/><Relationship Id="rId13" Type="http://schemas.openxmlformats.org/officeDocument/2006/relationships/hyperlink" Target="https://www.youtube.com/watch?v=cv0f9MMh_t4&amp;t=9s" TargetMode="External"/><Relationship Id="rId3" Type="http://schemas.openxmlformats.org/officeDocument/2006/relationships/settings" Target="settings.xml"/><Relationship Id="rId7" Type="http://schemas.openxmlformats.org/officeDocument/2006/relationships/hyperlink" Target="https://www.youtube.com/watch?v=Gq6w8Zkdp1Q&amp;index=10&amp;list=PLTH4sS-tsiG8f13gGxrlO22NroLo44TdE" TargetMode="External"/><Relationship Id="rId12" Type="http://schemas.openxmlformats.org/officeDocument/2006/relationships/hyperlink" Target="https://www.actuaries.org.uk/learn-and-develop/research-and-knowledge/actuarial-research-centre-arc/research-programmes/use-big-health-and-actuarial-data-understanding-longevity-and-morbidity-ris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HrCNb0Sj2w&amp;list=PLTH4sS-tsiG8f13gGxrlO22NroLo44TdE&amp;index=2" TargetMode="External"/><Relationship Id="rId11" Type="http://schemas.openxmlformats.org/officeDocument/2006/relationships/hyperlink" Target="https://www.youtube.com/watch?v=25qa37Uxczk" TargetMode="External"/><Relationship Id="rId5" Type="http://schemas.openxmlformats.org/officeDocument/2006/relationships/hyperlink" Target="https://eur01.safelinks.protection.outlook.com/?url=https%3A%2F%2Fdoi.org%2F10.1016%2Fj.insmatheco.2020.04.006&amp;data=04%7C01%7CJ.Farrar%40uea.ac.uk%7C52140d480cfc4a0d217f08d8be0a3eb5%7Cc65f8795ba3d43518a070865e5d8f090%7C0%7C0%7C637468298494736951%7CUnknown%7CTWFpbGZsb3d8eyJWIjoiMC4wLjAwMDAiLCJQIjoiV2luMzIiLCJBTiI6Ik1haWwiLCJXVCI6Mn0%3D%7C1000&amp;sdata=iymtaE0UxaBukS4fu%2BA2mYaDdV7RHpOmbogCHNU9CXQ%3D&amp;reserved=0" TargetMode="External"/><Relationship Id="rId15" Type="http://schemas.openxmlformats.org/officeDocument/2006/relationships/fontTable" Target="fontTable.xml"/><Relationship Id="rId10" Type="http://schemas.openxmlformats.org/officeDocument/2006/relationships/hyperlink" Target="https://www.youtube.com/watch?v=SwrfQ9y9zr4" TargetMode="External"/><Relationship Id="rId4" Type="http://schemas.openxmlformats.org/officeDocument/2006/relationships/webSettings" Target="webSettings.xml"/><Relationship Id="rId9" Type="http://schemas.openxmlformats.org/officeDocument/2006/relationships/hyperlink" Target="http://www.theactuary.com/features/2018/08/statin-prescription-figures-on-the-pulse/" TargetMode="External"/><Relationship Id="rId14" Type="http://schemas.openxmlformats.org/officeDocument/2006/relationships/hyperlink" Target="https://eur01.safelinks.protection.outlook.com/?url=https%3A%2F%2Fwww.gov.uk%2Fgovernment%2Fconsultations%2Fadvancing-our-health-prevention-in-the-2020s%2Fadvancing-our-health-prevention-in-the-2020s-consultation-document&amp;data=02%7C01%7Ce.kulinskaya%40uea.ac.uk%7C1391c14ee2ca48deb3f208d748f16e18%7Cc65f8795ba3d43518a070865e5d8f090%7C0%7C1%7C637058074595040924&amp;sdata=xOdbooFOjI0ncIxkOYDc3sN7HVceoSmGirnSyC5B5S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Winchester</dc:creator>
  <cp:keywords/>
  <dc:description/>
  <cp:lastModifiedBy>Caroline Winchester</cp:lastModifiedBy>
  <cp:revision>2</cp:revision>
  <dcterms:created xsi:type="dcterms:W3CDTF">2021-03-04T09:47:00Z</dcterms:created>
  <dcterms:modified xsi:type="dcterms:W3CDTF">2021-03-04T09:47:00Z</dcterms:modified>
</cp:coreProperties>
</file>