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4A0" w:firstRow="1" w:lastRow="0" w:firstColumn="1" w:lastColumn="0" w:noHBand="0" w:noVBand="1"/>
      </w:tblPr>
      <w:tblGrid>
        <w:gridCol w:w="3987"/>
        <w:gridCol w:w="6044"/>
      </w:tblGrid>
      <w:tr w:rsidR="00DD077E" w:rsidRPr="001E15DE" w:rsidTr="004B7378">
        <w:trPr>
          <w:trHeight w:hRule="exact" w:val="1872"/>
        </w:trPr>
        <w:tc>
          <w:tcPr>
            <w:tcW w:w="3987" w:type="dxa"/>
            <w:tcBorders>
              <w:top w:val="single" w:sz="4" w:space="0" w:color="auto"/>
              <w:left w:val="single" w:sz="4" w:space="0" w:color="auto"/>
              <w:bottom w:val="single" w:sz="4" w:space="0" w:color="auto"/>
              <w:right w:val="single" w:sz="4" w:space="0" w:color="auto"/>
            </w:tcBorders>
            <w:shd w:val="clear" w:color="auto" w:fill="auto"/>
            <w:vAlign w:val="center"/>
          </w:tcPr>
          <w:p w:rsidR="00DD077E" w:rsidRPr="001E15DE" w:rsidRDefault="00DD077E" w:rsidP="002A3161">
            <w:pPr>
              <w:jc w:val="center"/>
              <w:rPr>
                <w:rFonts w:cs="Arial"/>
                <w:i/>
                <w:sz w:val="18"/>
                <w:szCs w:val="18"/>
              </w:rPr>
            </w:pPr>
            <w:r>
              <w:rPr>
                <w:rFonts w:cs="Arial"/>
                <w:i/>
                <w:noProof/>
                <w:sz w:val="18"/>
                <w:szCs w:val="18"/>
                <w:lang w:eastAsia="en-GB"/>
              </w:rPr>
              <w:drawing>
                <wp:inline distT="0" distB="0" distL="0" distR="0" wp14:anchorId="540225D0" wp14:editId="71718802">
                  <wp:extent cx="2159000" cy="96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IFOA.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0" cy="968375"/>
                          </a:xfrm>
                          <a:prstGeom prst="rect">
                            <a:avLst/>
                          </a:prstGeom>
                        </pic:spPr>
                      </pic:pic>
                    </a:graphicData>
                  </a:graphic>
                </wp:inline>
              </w:drawing>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DD077E" w:rsidRPr="00024570" w:rsidRDefault="00DD077E" w:rsidP="002A3161">
            <w:pPr>
              <w:ind w:right="176"/>
              <w:rPr>
                <w:rFonts w:cs="Arial"/>
                <w:b/>
                <w:sz w:val="40"/>
                <w:szCs w:val="36"/>
              </w:rPr>
            </w:pPr>
            <w:r>
              <w:rPr>
                <w:rFonts w:cs="Arial"/>
                <w:b/>
                <w:sz w:val="40"/>
                <w:szCs w:val="36"/>
              </w:rPr>
              <w:t>Online exam invigilation form</w:t>
            </w:r>
          </w:p>
          <w:p w:rsidR="00DD077E" w:rsidRDefault="00DD077E" w:rsidP="002A3161">
            <w:pPr>
              <w:rPr>
                <w:rFonts w:cs="Arial"/>
                <w:b/>
                <w:sz w:val="28"/>
                <w:szCs w:val="24"/>
              </w:rPr>
            </w:pPr>
          </w:p>
          <w:p w:rsidR="00DD077E" w:rsidRPr="001E15DE" w:rsidRDefault="00DD077E" w:rsidP="002A3161">
            <w:pPr>
              <w:rPr>
                <w:rFonts w:cs="Arial"/>
                <w:i/>
                <w:sz w:val="18"/>
                <w:szCs w:val="18"/>
              </w:rPr>
            </w:pPr>
            <w:r w:rsidRPr="00024570">
              <w:rPr>
                <w:rFonts w:cs="Arial"/>
                <w:b/>
                <w:sz w:val="28"/>
                <w:szCs w:val="24"/>
              </w:rPr>
              <w:t xml:space="preserve">To be used for </w:t>
            </w:r>
            <w:r>
              <w:rPr>
                <w:rFonts w:cs="Arial"/>
                <w:b/>
                <w:sz w:val="28"/>
                <w:szCs w:val="24"/>
              </w:rPr>
              <w:t>all online assessments where invigilation is required</w:t>
            </w:r>
          </w:p>
        </w:tc>
      </w:tr>
    </w:tbl>
    <w:p w:rsidR="00D07418" w:rsidRDefault="00D07418"/>
    <w:p w:rsidR="004B7378" w:rsidRDefault="00DD077E">
      <w:pPr>
        <w:rPr>
          <w:rFonts w:cs="Arial"/>
          <w:i/>
          <w:sz w:val="18"/>
          <w:szCs w:val="18"/>
        </w:rPr>
      </w:pPr>
      <w:r w:rsidRPr="001E15DE">
        <w:rPr>
          <w:rFonts w:cs="Arial"/>
          <w:i/>
          <w:sz w:val="18"/>
          <w:szCs w:val="18"/>
        </w:rPr>
        <w:t xml:space="preserve">Please complete and return this form to: </w:t>
      </w:r>
    </w:p>
    <w:p w:rsidR="004B7378" w:rsidRDefault="00DD077E">
      <w:pPr>
        <w:rPr>
          <w:i/>
          <w:sz w:val="18"/>
        </w:rPr>
      </w:pPr>
      <w:r>
        <w:rPr>
          <w:rFonts w:cs="Arial"/>
          <w:i/>
          <w:sz w:val="18"/>
          <w:szCs w:val="18"/>
        </w:rPr>
        <w:t xml:space="preserve">Online Exam </w:t>
      </w:r>
      <w:r w:rsidR="00812E2C">
        <w:rPr>
          <w:rFonts w:cs="Arial"/>
          <w:i/>
          <w:sz w:val="18"/>
          <w:szCs w:val="18"/>
        </w:rPr>
        <w:t>Invigilation</w:t>
      </w:r>
      <w:r w:rsidRPr="001E15DE">
        <w:rPr>
          <w:rFonts w:cs="Arial"/>
          <w:i/>
          <w:sz w:val="18"/>
          <w:szCs w:val="18"/>
        </w:rPr>
        <w:t xml:space="preserve"> </w:t>
      </w:r>
      <w:r>
        <w:rPr>
          <w:rFonts w:cs="Arial"/>
          <w:i/>
          <w:sz w:val="18"/>
          <w:szCs w:val="18"/>
        </w:rPr>
        <w:t>– Examinations Team</w:t>
      </w:r>
      <w:r w:rsidRPr="001E15DE">
        <w:rPr>
          <w:rFonts w:cs="Arial"/>
          <w:i/>
          <w:sz w:val="18"/>
          <w:szCs w:val="18"/>
        </w:rPr>
        <w:t xml:space="preserve">, </w:t>
      </w:r>
      <w:r>
        <w:rPr>
          <w:rFonts w:cs="Arial"/>
          <w:i/>
          <w:sz w:val="18"/>
          <w:szCs w:val="18"/>
        </w:rPr>
        <w:t xml:space="preserve">The </w:t>
      </w:r>
      <w:r w:rsidRPr="001E15DE">
        <w:rPr>
          <w:rFonts w:cs="Arial"/>
          <w:i/>
          <w:sz w:val="18"/>
          <w:szCs w:val="18"/>
        </w:rPr>
        <w:t xml:space="preserve">Institute and Faculty of Actuaries, </w:t>
      </w:r>
      <w:r w:rsidRPr="0035302A">
        <w:rPr>
          <w:i/>
          <w:sz w:val="18"/>
        </w:rPr>
        <w:t>1</w:t>
      </w:r>
      <w:r w:rsidRPr="0035302A">
        <w:rPr>
          <w:i/>
          <w:sz w:val="18"/>
          <w:vertAlign w:val="superscript"/>
        </w:rPr>
        <w:t>st</w:t>
      </w:r>
      <w:r w:rsidRPr="0035302A">
        <w:rPr>
          <w:i/>
          <w:sz w:val="18"/>
        </w:rPr>
        <w:t xml:space="preserve"> Floor, Park Central, 40/41 Park End Street, Oxford OX1 1JD, UK</w:t>
      </w:r>
    </w:p>
    <w:p w:rsidR="00DD077E" w:rsidRDefault="00DD077E">
      <w:pPr>
        <w:rPr>
          <w:rStyle w:val="Hyperlink"/>
          <w:rFonts w:cs="Arial"/>
          <w:i/>
          <w:sz w:val="18"/>
          <w:szCs w:val="18"/>
        </w:rPr>
      </w:pPr>
      <w:r w:rsidRPr="001E15DE">
        <w:rPr>
          <w:rFonts w:cs="Arial"/>
          <w:i/>
          <w:sz w:val="18"/>
          <w:szCs w:val="18"/>
        </w:rPr>
        <w:t>Email:</w:t>
      </w:r>
      <w:r>
        <w:rPr>
          <w:rFonts w:cs="Arial"/>
          <w:i/>
          <w:sz w:val="18"/>
          <w:szCs w:val="18"/>
        </w:rPr>
        <w:t xml:space="preserve"> </w:t>
      </w:r>
      <w:hyperlink r:id="rId6" w:history="1">
        <w:r w:rsidRPr="00FE0875">
          <w:rPr>
            <w:rStyle w:val="Hyperlink"/>
            <w:rFonts w:cs="Arial"/>
            <w:i/>
            <w:sz w:val="18"/>
            <w:szCs w:val="18"/>
          </w:rPr>
          <w:t>examsupport@actuaries.org.uk</w:t>
        </w:r>
      </w:hyperlink>
    </w:p>
    <w:p w:rsidR="002A3161" w:rsidRPr="002A3161" w:rsidRDefault="002A3161" w:rsidP="002A3161">
      <w:pPr>
        <w:autoSpaceDE w:val="0"/>
        <w:autoSpaceDN w:val="0"/>
        <w:adjustRightInd w:val="0"/>
        <w:spacing w:line="240" w:lineRule="auto"/>
        <w:rPr>
          <w:rFonts w:eastAsiaTheme="minorHAnsi" w:cs="Arial"/>
          <w:color w:val="000000"/>
          <w:sz w:val="24"/>
          <w:szCs w:val="24"/>
        </w:rPr>
      </w:pPr>
    </w:p>
    <w:p w:rsidR="002A3161" w:rsidRPr="002A3161" w:rsidRDefault="00667700" w:rsidP="002A3161">
      <w:pPr>
        <w:autoSpaceDE w:val="0"/>
        <w:autoSpaceDN w:val="0"/>
        <w:adjustRightInd w:val="0"/>
        <w:spacing w:line="240" w:lineRule="auto"/>
        <w:rPr>
          <w:rFonts w:eastAsiaTheme="minorHAnsi" w:cs="Arial"/>
          <w:color w:val="000000"/>
          <w:szCs w:val="20"/>
        </w:rPr>
      </w:pPr>
      <w:r w:rsidRPr="002E04D3">
        <w:rPr>
          <w:szCs w:val="20"/>
        </w:rPr>
        <w:t>This fo</w:t>
      </w:r>
      <w:r>
        <w:rPr>
          <w:szCs w:val="20"/>
        </w:rPr>
        <w:t xml:space="preserve">rm is to be used </w:t>
      </w:r>
      <w:r>
        <w:rPr>
          <w:rFonts w:eastAsiaTheme="minorHAnsi" w:cs="Arial"/>
          <w:color w:val="000000"/>
          <w:szCs w:val="20"/>
        </w:rPr>
        <w:t>i</w:t>
      </w:r>
      <w:r w:rsidR="002A3161" w:rsidRPr="002A3161">
        <w:rPr>
          <w:rFonts w:eastAsiaTheme="minorHAnsi" w:cs="Arial"/>
          <w:color w:val="000000"/>
          <w:szCs w:val="20"/>
        </w:rPr>
        <w:t>f a Candidate is planning to sit their online exam where multiple candidates will be present in the same area, which could be a</w:t>
      </w:r>
      <w:r w:rsidR="00800C72">
        <w:rPr>
          <w:rFonts w:eastAsiaTheme="minorHAnsi" w:cs="Arial"/>
          <w:color w:val="000000"/>
          <w:szCs w:val="20"/>
        </w:rPr>
        <w:t>t</w:t>
      </w:r>
      <w:r w:rsidR="002A3161" w:rsidRPr="002A3161">
        <w:rPr>
          <w:rFonts w:eastAsiaTheme="minorHAnsi" w:cs="Arial"/>
          <w:color w:val="000000"/>
          <w:szCs w:val="20"/>
        </w:rPr>
        <w:t xml:space="preserve"> their place of work or another location</w:t>
      </w:r>
      <w:r w:rsidR="00800C72">
        <w:rPr>
          <w:rFonts w:eastAsiaTheme="minorHAnsi" w:cs="Arial"/>
          <w:color w:val="000000"/>
          <w:szCs w:val="20"/>
        </w:rPr>
        <w:t>.  T</w:t>
      </w:r>
      <w:r w:rsidR="002A3161" w:rsidRPr="002A3161">
        <w:rPr>
          <w:rFonts w:eastAsiaTheme="minorHAnsi" w:cs="Arial"/>
          <w:color w:val="000000"/>
          <w:szCs w:val="20"/>
        </w:rPr>
        <w:t xml:space="preserve">hey must inform the IFoA Examinations Team by email of this at least 15 working days prior to the exam taking place and the assessment MUST be overseen by an invigilator for the entire examination. </w:t>
      </w:r>
    </w:p>
    <w:p w:rsidR="00DD077E" w:rsidRPr="002E04D3" w:rsidRDefault="00DD077E" w:rsidP="00DD077E">
      <w:pPr>
        <w:pStyle w:val="Default"/>
        <w:rPr>
          <w:color w:val="auto"/>
          <w:sz w:val="20"/>
          <w:szCs w:val="20"/>
        </w:rPr>
      </w:pPr>
    </w:p>
    <w:p w:rsidR="00DD077E" w:rsidRPr="002E04D3" w:rsidRDefault="00DD077E" w:rsidP="00DD077E">
      <w:pPr>
        <w:pStyle w:val="Default"/>
        <w:numPr>
          <w:ilvl w:val="0"/>
          <w:numId w:val="1"/>
        </w:numPr>
        <w:rPr>
          <w:color w:val="auto"/>
          <w:sz w:val="20"/>
          <w:szCs w:val="20"/>
        </w:rPr>
      </w:pPr>
      <w:r w:rsidRPr="002E04D3">
        <w:rPr>
          <w:color w:val="auto"/>
          <w:sz w:val="20"/>
          <w:szCs w:val="20"/>
        </w:rPr>
        <w:t>An invigilator need not be a Fellow of the Institute but should be in possession of a professional qualification e.g. CIPD, ACCA</w:t>
      </w:r>
      <w:r w:rsidR="00667700">
        <w:rPr>
          <w:color w:val="auto"/>
          <w:sz w:val="20"/>
          <w:szCs w:val="20"/>
        </w:rPr>
        <w:t xml:space="preserve"> or a Fellow of another organisation.</w:t>
      </w:r>
      <w:r w:rsidRPr="002E04D3">
        <w:rPr>
          <w:color w:val="auto"/>
          <w:sz w:val="20"/>
          <w:szCs w:val="20"/>
        </w:rPr>
        <w:t xml:space="preserve"> </w:t>
      </w:r>
    </w:p>
    <w:p w:rsidR="00DD077E" w:rsidRPr="002E04D3" w:rsidRDefault="00DD077E" w:rsidP="00DD077E">
      <w:pPr>
        <w:pStyle w:val="Default"/>
        <w:rPr>
          <w:color w:val="auto"/>
          <w:sz w:val="20"/>
          <w:szCs w:val="20"/>
        </w:rPr>
      </w:pPr>
    </w:p>
    <w:p w:rsidR="00DD077E" w:rsidRDefault="00667700" w:rsidP="00DD077E">
      <w:pPr>
        <w:pStyle w:val="Default"/>
        <w:numPr>
          <w:ilvl w:val="0"/>
          <w:numId w:val="1"/>
        </w:numPr>
        <w:rPr>
          <w:color w:val="auto"/>
          <w:sz w:val="20"/>
          <w:szCs w:val="20"/>
        </w:rPr>
      </w:pPr>
      <w:r>
        <w:rPr>
          <w:color w:val="auto"/>
          <w:sz w:val="20"/>
          <w:szCs w:val="20"/>
        </w:rPr>
        <w:t>An invigilator MUST</w:t>
      </w:r>
      <w:r w:rsidR="00DD077E" w:rsidRPr="002E04D3">
        <w:rPr>
          <w:color w:val="auto"/>
          <w:sz w:val="20"/>
          <w:szCs w:val="20"/>
        </w:rPr>
        <w:t xml:space="preserve"> not be a student at the IFoA or be providing educational services to the students.</w:t>
      </w:r>
    </w:p>
    <w:p w:rsidR="00667700" w:rsidRDefault="00667700" w:rsidP="00667700">
      <w:pPr>
        <w:pStyle w:val="Default"/>
      </w:pPr>
    </w:p>
    <w:p w:rsidR="00DD077E" w:rsidRPr="00667700" w:rsidRDefault="00667700" w:rsidP="00667700">
      <w:pPr>
        <w:pStyle w:val="Default"/>
        <w:numPr>
          <w:ilvl w:val="0"/>
          <w:numId w:val="1"/>
        </w:numPr>
        <w:rPr>
          <w:sz w:val="20"/>
          <w:szCs w:val="20"/>
        </w:rPr>
      </w:pPr>
      <w:r>
        <w:rPr>
          <w:sz w:val="20"/>
          <w:szCs w:val="20"/>
        </w:rPr>
        <w:t xml:space="preserve">The invigilator must complete the form supplied by the IFoA Examinations Team at least 15 working days before the examination. Failure to do so will result in the exam not </w:t>
      </w:r>
      <w:r w:rsidR="00800C72">
        <w:rPr>
          <w:sz w:val="20"/>
          <w:szCs w:val="20"/>
        </w:rPr>
        <w:t>being marked. The Examinations T</w:t>
      </w:r>
      <w:r>
        <w:rPr>
          <w:sz w:val="20"/>
          <w:szCs w:val="20"/>
        </w:rPr>
        <w:t>eam will send instructions to the invigilator by email.</w:t>
      </w:r>
      <w:bookmarkStart w:id="0" w:name="_GoBack"/>
      <w:bookmarkEnd w:id="0"/>
    </w:p>
    <w:p w:rsidR="00DD077E" w:rsidRPr="002E04D3" w:rsidRDefault="00DD077E" w:rsidP="00DD077E">
      <w:pPr>
        <w:pStyle w:val="Default"/>
        <w:rPr>
          <w:color w:val="auto"/>
          <w:sz w:val="20"/>
          <w:szCs w:val="20"/>
        </w:rPr>
      </w:pPr>
    </w:p>
    <w:p w:rsidR="002E04D3" w:rsidRPr="002E04D3" w:rsidRDefault="002E04D3" w:rsidP="00DD077E">
      <w:pPr>
        <w:pStyle w:val="Default"/>
        <w:rPr>
          <w:color w:val="auto"/>
          <w:sz w:val="20"/>
          <w:szCs w:val="20"/>
        </w:rPr>
      </w:pPr>
      <w:r w:rsidRPr="002E04D3">
        <w:rPr>
          <w:color w:val="auto"/>
          <w:sz w:val="20"/>
          <w:szCs w:val="20"/>
        </w:rPr>
        <w:t>A separate form should be used for each examination.</w:t>
      </w:r>
    </w:p>
    <w:p w:rsidR="002E04D3" w:rsidRPr="002E04D3" w:rsidRDefault="002E04D3" w:rsidP="00DD077E">
      <w:pPr>
        <w:pStyle w:val="Default"/>
        <w:rPr>
          <w:color w:val="auto"/>
          <w:sz w:val="20"/>
          <w:szCs w:val="20"/>
        </w:rPr>
      </w:pPr>
    </w:p>
    <w:p w:rsidR="00DD077E" w:rsidRPr="002E04D3" w:rsidRDefault="00DD077E" w:rsidP="00DD077E">
      <w:pPr>
        <w:pStyle w:val="Default"/>
        <w:rPr>
          <w:color w:val="auto"/>
          <w:sz w:val="20"/>
          <w:szCs w:val="20"/>
        </w:rPr>
      </w:pPr>
      <w:r w:rsidRPr="002E04D3">
        <w:rPr>
          <w:color w:val="auto"/>
          <w:sz w:val="20"/>
          <w:szCs w:val="20"/>
        </w:rPr>
        <w:t xml:space="preserve">During the exam, candidates must not communicate with anyone regarding their online examination. </w:t>
      </w:r>
    </w:p>
    <w:p w:rsidR="00DD077E" w:rsidRPr="002E04D3" w:rsidRDefault="00DD077E" w:rsidP="00DD077E">
      <w:pPr>
        <w:pStyle w:val="Default"/>
        <w:rPr>
          <w:color w:val="auto"/>
          <w:sz w:val="20"/>
          <w:szCs w:val="20"/>
        </w:rPr>
      </w:pPr>
    </w:p>
    <w:p w:rsidR="00DD077E" w:rsidRPr="002E04D3" w:rsidRDefault="00DD077E" w:rsidP="00DD077E">
      <w:pPr>
        <w:pStyle w:val="Heading2"/>
        <w:tabs>
          <w:tab w:val="left" w:pos="461"/>
        </w:tabs>
        <w:spacing w:before="37"/>
        <w:ind w:left="0" w:firstLine="0"/>
        <w:rPr>
          <w:b w:val="0"/>
          <w:bCs w:val="0"/>
          <w:sz w:val="20"/>
          <w:szCs w:val="20"/>
        </w:rPr>
      </w:pPr>
      <w:r w:rsidRPr="002E04D3">
        <w:rPr>
          <w:rFonts w:cs="Arial"/>
          <w:b w:val="0"/>
          <w:sz w:val="20"/>
          <w:szCs w:val="20"/>
        </w:rPr>
        <w:t>Please note - If a single candidate sits at their place of work, they do not require an invigilator</w:t>
      </w:r>
      <w:r w:rsidRPr="002E04D3">
        <w:rPr>
          <w:b w:val="0"/>
          <w:sz w:val="20"/>
          <w:szCs w:val="20"/>
        </w:rPr>
        <w:t xml:space="preserve"> </w:t>
      </w:r>
    </w:p>
    <w:p w:rsidR="00DD077E" w:rsidRPr="002E04D3" w:rsidRDefault="00DD077E" w:rsidP="00DD077E">
      <w:pPr>
        <w:pStyle w:val="Heading2"/>
        <w:tabs>
          <w:tab w:val="left" w:pos="461"/>
        </w:tabs>
        <w:spacing w:before="37"/>
        <w:ind w:left="100" w:firstLine="0"/>
        <w:rPr>
          <w:b w:val="0"/>
          <w:bCs w:val="0"/>
          <w:sz w:val="20"/>
          <w:szCs w:val="20"/>
        </w:rPr>
      </w:pPr>
    </w:p>
    <w:tbl>
      <w:tblPr>
        <w:tblStyle w:val="TableGrid"/>
        <w:tblW w:w="10060" w:type="dxa"/>
        <w:tblLook w:val="04A0" w:firstRow="1" w:lastRow="0" w:firstColumn="1" w:lastColumn="0" w:noHBand="0" w:noVBand="1"/>
      </w:tblPr>
      <w:tblGrid>
        <w:gridCol w:w="3256"/>
        <w:gridCol w:w="6804"/>
      </w:tblGrid>
      <w:tr w:rsidR="002E04D3" w:rsidTr="00667700">
        <w:tc>
          <w:tcPr>
            <w:tcW w:w="10060" w:type="dxa"/>
            <w:gridSpan w:val="2"/>
          </w:tcPr>
          <w:p w:rsidR="002E04D3" w:rsidRDefault="002E04D3">
            <w:r>
              <w:t>Personal details of invigilator</w:t>
            </w:r>
          </w:p>
        </w:tc>
      </w:tr>
      <w:tr w:rsidR="002E04D3" w:rsidTr="00667700">
        <w:tc>
          <w:tcPr>
            <w:tcW w:w="3256" w:type="dxa"/>
          </w:tcPr>
          <w:p w:rsidR="002E04D3" w:rsidRDefault="002E04D3">
            <w:r>
              <w:t>Name in Block Capitals:</w:t>
            </w:r>
          </w:p>
        </w:tc>
        <w:tc>
          <w:tcPr>
            <w:tcW w:w="6804" w:type="dxa"/>
          </w:tcPr>
          <w:p w:rsidR="002E04D3" w:rsidRDefault="002E04D3"/>
        </w:tc>
      </w:tr>
      <w:tr w:rsidR="002E04D3" w:rsidTr="00667700">
        <w:tc>
          <w:tcPr>
            <w:tcW w:w="3256" w:type="dxa"/>
          </w:tcPr>
          <w:p w:rsidR="002E04D3" w:rsidRDefault="002E04D3">
            <w:r>
              <w:t>Email Address:</w:t>
            </w:r>
          </w:p>
        </w:tc>
        <w:tc>
          <w:tcPr>
            <w:tcW w:w="6804" w:type="dxa"/>
          </w:tcPr>
          <w:p w:rsidR="002E04D3" w:rsidRDefault="002E04D3"/>
        </w:tc>
      </w:tr>
      <w:tr w:rsidR="002E04D3" w:rsidTr="00667700">
        <w:tc>
          <w:tcPr>
            <w:tcW w:w="3256" w:type="dxa"/>
          </w:tcPr>
          <w:p w:rsidR="002E04D3" w:rsidRDefault="002E04D3">
            <w:r>
              <w:t>Professional Qualifications held:</w:t>
            </w:r>
          </w:p>
        </w:tc>
        <w:tc>
          <w:tcPr>
            <w:tcW w:w="6804" w:type="dxa"/>
          </w:tcPr>
          <w:p w:rsidR="002E04D3" w:rsidRDefault="002E04D3"/>
        </w:tc>
      </w:tr>
    </w:tbl>
    <w:p w:rsidR="00DD077E" w:rsidRDefault="00DD077E"/>
    <w:tbl>
      <w:tblPr>
        <w:tblStyle w:val="TableGrid"/>
        <w:tblW w:w="10060" w:type="dxa"/>
        <w:tblLook w:val="04A0" w:firstRow="1" w:lastRow="0" w:firstColumn="1" w:lastColumn="0" w:noHBand="0" w:noVBand="1"/>
      </w:tblPr>
      <w:tblGrid>
        <w:gridCol w:w="3256"/>
        <w:gridCol w:w="6804"/>
      </w:tblGrid>
      <w:tr w:rsidR="002E04D3" w:rsidTr="00667700">
        <w:tc>
          <w:tcPr>
            <w:tcW w:w="3256" w:type="dxa"/>
          </w:tcPr>
          <w:p w:rsidR="002E04D3" w:rsidRDefault="002E04D3">
            <w:r>
              <w:t>Examination:</w:t>
            </w:r>
          </w:p>
        </w:tc>
        <w:tc>
          <w:tcPr>
            <w:tcW w:w="6804" w:type="dxa"/>
          </w:tcPr>
          <w:p w:rsidR="002E04D3" w:rsidRDefault="002E04D3"/>
        </w:tc>
      </w:tr>
      <w:tr w:rsidR="002E04D3" w:rsidTr="00667700">
        <w:tc>
          <w:tcPr>
            <w:tcW w:w="3256" w:type="dxa"/>
          </w:tcPr>
          <w:p w:rsidR="002E04D3" w:rsidRDefault="002E04D3">
            <w:r>
              <w:t>Date:</w:t>
            </w:r>
          </w:p>
        </w:tc>
        <w:tc>
          <w:tcPr>
            <w:tcW w:w="6804" w:type="dxa"/>
          </w:tcPr>
          <w:p w:rsidR="002E04D3" w:rsidRDefault="002E04D3"/>
        </w:tc>
      </w:tr>
      <w:tr w:rsidR="002E04D3" w:rsidTr="00667700">
        <w:tc>
          <w:tcPr>
            <w:tcW w:w="3256" w:type="dxa"/>
          </w:tcPr>
          <w:p w:rsidR="002E04D3" w:rsidRDefault="002E04D3">
            <w:r>
              <w:t>Location:</w:t>
            </w:r>
          </w:p>
        </w:tc>
        <w:tc>
          <w:tcPr>
            <w:tcW w:w="6804" w:type="dxa"/>
            <w:vMerge w:val="restart"/>
          </w:tcPr>
          <w:p w:rsidR="002E04D3" w:rsidRDefault="002E04D3"/>
        </w:tc>
      </w:tr>
      <w:tr w:rsidR="002E04D3" w:rsidTr="00667700">
        <w:tc>
          <w:tcPr>
            <w:tcW w:w="3256" w:type="dxa"/>
          </w:tcPr>
          <w:p w:rsidR="002E04D3" w:rsidRDefault="002E04D3"/>
        </w:tc>
        <w:tc>
          <w:tcPr>
            <w:tcW w:w="6804" w:type="dxa"/>
            <w:vMerge/>
          </w:tcPr>
          <w:p w:rsidR="002E04D3" w:rsidRDefault="002E04D3"/>
        </w:tc>
      </w:tr>
    </w:tbl>
    <w:p w:rsidR="002E04D3" w:rsidRDefault="002E04D3"/>
    <w:tbl>
      <w:tblPr>
        <w:tblStyle w:val="TableGrid"/>
        <w:tblW w:w="10060" w:type="dxa"/>
        <w:tblLook w:val="04A0" w:firstRow="1" w:lastRow="0" w:firstColumn="1" w:lastColumn="0" w:noHBand="0" w:noVBand="1"/>
      </w:tblPr>
      <w:tblGrid>
        <w:gridCol w:w="4957"/>
        <w:gridCol w:w="1559"/>
        <w:gridCol w:w="3544"/>
      </w:tblGrid>
      <w:tr w:rsidR="00667700" w:rsidTr="00667700">
        <w:trPr>
          <w:trHeight w:val="274"/>
        </w:trPr>
        <w:tc>
          <w:tcPr>
            <w:tcW w:w="4957" w:type="dxa"/>
          </w:tcPr>
          <w:p w:rsidR="00667700" w:rsidRDefault="00667700">
            <w:r>
              <w:t>Names of Students sitting examination</w:t>
            </w:r>
          </w:p>
        </w:tc>
        <w:tc>
          <w:tcPr>
            <w:tcW w:w="1559" w:type="dxa"/>
          </w:tcPr>
          <w:p w:rsidR="00667700" w:rsidRDefault="00667700">
            <w:r>
              <w:t>Students ARN</w:t>
            </w:r>
          </w:p>
        </w:tc>
        <w:tc>
          <w:tcPr>
            <w:tcW w:w="3544" w:type="dxa"/>
          </w:tcPr>
          <w:p w:rsidR="00667700" w:rsidRDefault="00667700" w:rsidP="00685690">
            <w:r>
              <w:t>Please</w:t>
            </w:r>
            <w:r w:rsidR="00685690">
              <w:t xml:space="preserve"> tick here </w:t>
            </w:r>
            <w:r>
              <w:t>if you have a working relationship with this student.</w:t>
            </w:r>
          </w:p>
        </w:tc>
      </w:tr>
      <w:tr w:rsidR="00667700" w:rsidTr="00667700">
        <w:trPr>
          <w:trHeight w:val="274"/>
        </w:trPr>
        <w:tc>
          <w:tcPr>
            <w:tcW w:w="4957" w:type="dxa"/>
          </w:tcPr>
          <w:p w:rsidR="00667700" w:rsidRDefault="00667700"/>
        </w:tc>
        <w:tc>
          <w:tcPr>
            <w:tcW w:w="1559" w:type="dxa"/>
          </w:tcPr>
          <w:p w:rsidR="00667700" w:rsidRDefault="00667700"/>
        </w:tc>
        <w:tc>
          <w:tcPr>
            <w:tcW w:w="3544" w:type="dxa"/>
          </w:tcPr>
          <w:p w:rsidR="00667700" w:rsidRDefault="00667700"/>
        </w:tc>
      </w:tr>
      <w:tr w:rsidR="00667700" w:rsidTr="00667700">
        <w:trPr>
          <w:trHeight w:val="274"/>
        </w:trPr>
        <w:tc>
          <w:tcPr>
            <w:tcW w:w="4957" w:type="dxa"/>
          </w:tcPr>
          <w:p w:rsidR="00667700" w:rsidRDefault="00667700"/>
        </w:tc>
        <w:tc>
          <w:tcPr>
            <w:tcW w:w="1559" w:type="dxa"/>
          </w:tcPr>
          <w:p w:rsidR="00667700" w:rsidRDefault="00667700"/>
        </w:tc>
        <w:tc>
          <w:tcPr>
            <w:tcW w:w="3544" w:type="dxa"/>
          </w:tcPr>
          <w:p w:rsidR="00667700" w:rsidRDefault="00667700"/>
        </w:tc>
      </w:tr>
      <w:tr w:rsidR="00667700" w:rsidTr="00667700">
        <w:trPr>
          <w:trHeight w:val="274"/>
        </w:trPr>
        <w:tc>
          <w:tcPr>
            <w:tcW w:w="4957" w:type="dxa"/>
          </w:tcPr>
          <w:p w:rsidR="00667700" w:rsidRDefault="00667700"/>
        </w:tc>
        <w:tc>
          <w:tcPr>
            <w:tcW w:w="1559" w:type="dxa"/>
          </w:tcPr>
          <w:p w:rsidR="00667700" w:rsidRDefault="00667700"/>
        </w:tc>
        <w:tc>
          <w:tcPr>
            <w:tcW w:w="3544" w:type="dxa"/>
          </w:tcPr>
          <w:p w:rsidR="00667700" w:rsidRDefault="00667700"/>
        </w:tc>
      </w:tr>
      <w:tr w:rsidR="00667700" w:rsidTr="00667700">
        <w:trPr>
          <w:trHeight w:val="274"/>
        </w:trPr>
        <w:tc>
          <w:tcPr>
            <w:tcW w:w="4957" w:type="dxa"/>
          </w:tcPr>
          <w:p w:rsidR="00667700" w:rsidRDefault="00667700"/>
        </w:tc>
        <w:tc>
          <w:tcPr>
            <w:tcW w:w="1559" w:type="dxa"/>
          </w:tcPr>
          <w:p w:rsidR="00667700" w:rsidRDefault="00667700"/>
        </w:tc>
        <w:tc>
          <w:tcPr>
            <w:tcW w:w="3544" w:type="dxa"/>
          </w:tcPr>
          <w:p w:rsidR="00667700" w:rsidRDefault="00667700"/>
        </w:tc>
      </w:tr>
      <w:tr w:rsidR="00667700" w:rsidTr="00667700">
        <w:trPr>
          <w:trHeight w:val="274"/>
        </w:trPr>
        <w:tc>
          <w:tcPr>
            <w:tcW w:w="4957" w:type="dxa"/>
          </w:tcPr>
          <w:p w:rsidR="00667700" w:rsidRDefault="00667700"/>
        </w:tc>
        <w:tc>
          <w:tcPr>
            <w:tcW w:w="1559" w:type="dxa"/>
          </w:tcPr>
          <w:p w:rsidR="00667700" w:rsidRDefault="00667700"/>
        </w:tc>
        <w:tc>
          <w:tcPr>
            <w:tcW w:w="3544" w:type="dxa"/>
          </w:tcPr>
          <w:p w:rsidR="00667700" w:rsidRDefault="00667700"/>
        </w:tc>
      </w:tr>
      <w:tr w:rsidR="00667700" w:rsidTr="00667700">
        <w:trPr>
          <w:trHeight w:val="274"/>
        </w:trPr>
        <w:tc>
          <w:tcPr>
            <w:tcW w:w="4957" w:type="dxa"/>
          </w:tcPr>
          <w:p w:rsidR="00667700" w:rsidRDefault="00667700"/>
        </w:tc>
        <w:tc>
          <w:tcPr>
            <w:tcW w:w="1559" w:type="dxa"/>
          </w:tcPr>
          <w:p w:rsidR="00667700" w:rsidRDefault="00667700"/>
        </w:tc>
        <w:tc>
          <w:tcPr>
            <w:tcW w:w="3544" w:type="dxa"/>
          </w:tcPr>
          <w:p w:rsidR="00667700" w:rsidRDefault="00667700"/>
        </w:tc>
      </w:tr>
      <w:tr w:rsidR="00667700" w:rsidTr="00667700">
        <w:trPr>
          <w:trHeight w:val="274"/>
        </w:trPr>
        <w:tc>
          <w:tcPr>
            <w:tcW w:w="4957" w:type="dxa"/>
          </w:tcPr>
          <w:p w:rsidR="00667700" w:rsidRDefault="00667700"/>
        </w:tc>
        <w:tc>
          <w:tcPr>
            <w:tcW w:w="1559" w:type="dxa"/>
          </w:tcPr>
          <w:p w:rsidR="00667700" w:rsidRDefault="00667700"/>
        </w:tc>
        <w:tc>
          <w:tcPr>
            <w:tcW w:w="3544" w:type="dxa"/>
          </w:tcPr>
          <w:p w:rsidR="00667700" w:rsidRDefault="00667700"/>
        </w:tc>
      </w:tr>
    </w:tbl>
    <w:p w:rsidR="002E04D3" w:rsidRDefault="002E04D3" w:rsidP="004B7378"/>
    <w:sectPr w:rsidR="002E04D3" w:rsidSect="00812E2C">
      <w:pgSz w:w="11906" w:h="16838"/>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96CCB"/>
    <w:multiLevelType w:val="hybridMultilevel"/>
    <w:tmpl w:val="35AEAB00"/>
    <w:lvl w:ilvl="0" w:tplc="1054CFF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7E"/>
    <w:rsid w:val="002A3161"/>
    <w:rsid w:val="002E04D3"/>
    <w:rsid w:val="00460F60"/>
    <w:rsid w:val="004B7378"/>
    <w:rsid w:val="005224A0"/>
    <w:rsid w:val="0063252C"/>
    <w:rsid w:val="00667700"/>
    <w:rsid w:val="00685690"/>
    <w:rsid w:val="00800C72"/>
    <w:rsid w:val="00812E2C"/>
    <w:rsid w:val="0096238B"/>
    <w:rsid w:val="00C345F0"/>
    <w:rsid w:val="00D07418"/>
    <w:rsid w:val="00DD077E"/>
    <w:rsid w:val="00FF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1B6B4-5C70-412D-8AF8-FE42935B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77E"/>
    <w:pPr>
      <w:spacing w:after="0" w:line="280" w:lineRule="atLeast"/>
    </w:pPr>
    <w:rPr>
      <w:rFonts w:ascii="Arial" w:eastAsia="Calibri" w:hAnsi="Arial" w:cs="Times New Roman"/>
      <w:sz w:val="20"/>
    </w:rPr>
  </w:style>
  <w:style w:type="paragraph" w:styleId="Heading2">
    <w:name w:val="heading 2"/>
    <w:basedOn w:val="Normal"/>
    <w:link w:val="Heading2Char"/>
    <w:uiPriority w:val="1"/>
    <w:qFormat/>
    <w:rsid w:val="00DD077E"/>
    <w:pPr>
      <w:widowControl w:val="0"/>
      <w:spacing w:line="240" w:lineRule="auto"/>
      <w:ind w:left="460" w:hanging="360"/>
      <w:outlineLvl w:val="1"/>
    </w:pPr>
    <w:rPr>
      <w:rFonts w:eastAsia="Arial" w:cstheme="min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77E"/>
    <w:rPr>
      <w:color w:val="0000FF"/>
      <w:u w:val="single"/>
    </w:rPr>
  </w:style>
  <w:style w:type="character" w:customStyle="1" w:styleId="Heading2Char">
    <w:name w:val="Heading 2 Char"/>
    <w:basedOn w:val="DefaultParagraphFont"/>
    <w:link w:val="Heading2"/>
    <w:uiPriority w:val="1"/>
    <w:rsid w:val="00DD077E"/>
    <w:rPr>
      <w:rFonts w:ascii="Arial" w:eastAsia="Arial" w:hAnsi="Arial"/>
      <w:b/>
      <w:bCs/>
      <w:sz w:val="26"/>
      <w:szCs w:val="26"/>
      <w:lang w:val="en-US"/>
    </w:rPr>
  </w:style>
  <w:style w:type="paragraph" w:customStyle="1" w:styleId="Default">
    <w:name w:val="Default"/>
    <w:rsid w:val="00DD077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E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1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61"/>
    <w:rPr>
      <w:rFonts w:ascii="Segoe UI" w:eastAsia="Calibri" w:hAnsi="Segoe UI" w:cs="Segoe UI"/>
      <w:sz w:val="18"/>
      <w:szCs w:val="18"/>
    </w:rPr>
  </w:style>
  <w:style w:type="paragraph" w:styleId="ListParagraph">
    <w:name w:val="List Paragraph"/>
    <w:basedOn w:val="Normal"/>
    <w:uiPriority w:val="34"/>
    <w:qFormat/>
    <w:rsid w:val="00667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support@actuaries.org.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Berrow</dc:creator>
  <cp:keywords/>
  <dc:description/>
  <cp:lastModifiedBy>Fiona J. McNeil</cp:lastModifiedBy>
  <cp:revision>3</cp:revision>
  <cp:lastPrinted>2020-01-29T10:55:00Z</cp:lastPrinted>
  <dcterms:created xsi:type="dcterms:W3CDTF">2020-01-29T11:02:00Z</dcterms:created>
  <dcterms:modified xsi:type="dcterms:W3CDTF">2020-01-29T11:41:00Z</dcterms:modified>
</cp:coreProperties>
</file>